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26887" w14:textId="7DC54C89" w:rsidR="00A639F7" w:rsidRPr="00A639F7" w:rsidRDefault="0053011D" w:rsidP="00A639F7">
      <w:pPr>
        <w:rPr>
          <w:b/>
          <w:bCs/>
        </w:rPr>
      </w:pPr>
      <w:bookmarkStart w:id="0" w:name="_GoBack"/>
      <w:bookmarkEnd w:id="0"/>
      <w:r>
        <w:rPr>
          <w:b/>
          <w:bCs/>
        </w:rPr>
        <w:t xml:space="preserve">What is </w:t>
      </w:r>
      <w:r w:rsidR="00EB6E3E">
        <w:rPr>
          <w:b/>
          <w:bCs/>
        </w:rPr>
        <w:t xml:space="preserve">the </w:t>
      </w:r>
      <w:r w:rsidR="00A311C8" w:rsidRPr="00A311C8">
        <w:rPr>
          <w:b/>
          <w:bCs/>
        </w:rPr>
        <w:t>Mandatory</w:t>
      </w:r>
      <w:r w:rsidR="00A311C8">
        <w:rPr>
          <w:b/>
          <w:bCs/>
        </w:rPr>
        <w:t xml:space="preserve"> P</w:t>
      </w:r>
      <w:r w:rsidR="00A311C8" w:rsidRPr="00A311C8">
        <w:rPr>
          <w:b/>
          <w:bCs/>
        </w:rPr>
        <w:t xml:space="preserve">rimary </w:t>
      </w:r>
      <w:r w:rsidR="00A311C8">
        <w:rPr>
          <w:b/>
          <w:bCs/>
        </w:rPr>
        <w:t>F</w:t>
      </w:r>
      <w:r w:rsidR="00A311C8" w:rsidRPr="00A311C8">
        <w:rPr>
          <w:b/>
          <w:bCs/>
        </w:rPr>
        <w:t xml:space="preserve">requency </w:t>
      </w:r>
      <w:r w:rsidR="00A311C8">
        <w:rPr>
          <w:b/>
          <w:bCs/>
        </w:rPr>
        <w:t>R</w:t>
      </w:r>
      <w:r w:rsidR="00A311C8" w:rsidRPr="00A311C8">
        <w:rPr>
          <w:b/>
          <w:bCs/>
        </w:rPr>
        <w:t>esponse</w:t>
      </w:r>
      <w:r w:rsidR="00A311C8">
        <w:rPr>
          <w:b/>
          <w:bCs/>
        </w:rPr>
        <w:t xml:space="preserve"> </w:t>
      </w:r>
      <w:r w:rsidR="00A639F7" w:rsidRPr="00A639F7">
        <w:rPr>
          <w:b/>
          <w:bCs/>
        </w:rPr>
        <w:t>rule?</w:t>
      </w:r>
    </w:p>
    <w:p w14:paraId="47A9F6B5" w14:textId="592D39C1" w:rsidR="00161204" w:rsidRDefault="00161204" w:rsidP="00A639F7">
      <w:r>
        <w:t xml:space="preserve">The Mandatory Primary Frequency Response </w:t>
      </w:r>
      <w:r w:rsidR="00772FB9">
        <w:t xml:space="preserve">(PFR) </w:t>
      </w:r>
      <w:r>
        <w:t>rule</w:t>
      </w:r>
      <w:r w:rsidR="00756839">
        <w:t xml:space="preserve"> commence</w:t>
      </w:r>
      <w:r w:rsidR="002A366E">
        <w:t>d</w:t>
      </w:r>
      <w:r w:rsidR="00756839">
        <w:t xml:space="preserve"> on 4 June 2020 and</w:t>
      </w:r>
      <w:r>
        <w:t xml:space="preserve"> can be found on the </w:t>
      </w:r>
      <w:hyperlink r:id="rId13" w:history="1">
        <w:r w:rsidR="007456B7">
          <w:rPr>
            <w:rStyle w:val="Hyperlink"/>
          </w:rPr>
          <w:t>AEMC website</w:t>
        </w:r>
      </w:hyperlink>
      <w:r>
        <w:t>.</w:t>
      </w:r>
    </w:p>
    <w:p w14:paraId="02C0B27F" w14:textId="7722635A" w:rsidR="002F7BF7" w:rsidRDefault="00BB21AC" w:rsidP="00A639F7">
      <w:r>
        <w:t>The P</w:t>
      </w:r>
      <w:r w:rsidR="003D46C1">
        <w:t>FR</w:t>
      </w:r>
      <w:r>
        <w:t xml:space="preserve"> rule</w:t>
      </w:r>
      <w:r w:rsidR="007456B7">
        <w:t xml:space="preserve"> applies to all Scheduled and Semi-Scheduled Generators</w:t>
      </w:r>
      <w:r w:rsidR="00F705E8">
        <w:t xml:space="preserve"> (Affected Generators)</w:t>
      </w:r>
      <w:r w:rsidR="007456B7">
        <w:t xml:space="preserve">.  </w:t>
      </w:r>
      <w:r w:rsidR="00862305">
        <w:t>T</w:t>
      </w:r>
      <w:r w:rsidR="00CE5249" w:rsidRPr="00CE5249">
        <w:t xml:space="preserve">he PFR rule will require </w:t>
      </w:r>
      <w:r w:rsidR="0065521C">
        <w:t xml:space="preserve">all </w:t>
      </w:r>
      <w:r w:rsidR="00CE5249">
        <w:t>scheduled and semi-scheduled generating systems</w:t>
      </w:r>
      <w:r w:rsidR="00CE5249" w:rsidRPr="00CE5249">
        <w:t xml:space="preserve"> </w:t>
      </w:r>
      <w:r w:rsidR="0065521C">
        <w:t xml:space="preserve">to respond to changes in </w:t>
      </w:r>
      <w:r w:rsidR="00CE5249" w:rsidRPr="00CE5249">
        <w:t xml:space="preserve">power system frequency whenever </w:t>
      </w:r>
      <w:r w:rsidR="00CE5249">
        <w:t>they</w:t>
      </w:r>
      <w:r w:rsidR="00CE5249" w:rsidRPr="00CE5249">
        <w:t xml:space="preserve"> receive a dispatch target </w:t>
      </w:r>
      <w:r w:rsidR="00CE5249">
        <w:t>of more than</w:t>
      </w:r>
      <w:r w:rsidR="00CE5249" w:rsidRPr="00CE5249">
        <w:t xml:space="preserve"> 0 MW.  </w:t>
      </w:r>
    </w:p>
    <w:p w14:paraId="7920C833" w14:textId="19220C74" w:rsidR="00A639F7" w:rsidRDefault="002F7BF7" w:rsidP="00A639F7">
      <w:r>
        <w:t xml:space="preserve">You should read the </w:t>
      </w:r>
      <w:hyperlink r:id="rId14" w:history="1">
        <w:r w:rsidRPr="009E15C9">
          <w:rPr>
            <w:rStyle w:val="Hyperlink"/>
          </w:rPr>
          <w:t xml:space="preserve">rule and </w:t>
        </w:r>
        <w:r w:rsidR="00B17E89">
          <w:rPr>
            <w:rStyle w:val="Hyperlink"/>
          </w:rPr>
          <w:t xml:space="preserve">AEMC </w:t>
        </w:r>
        <w:r w:rsidRPr="009E15C9">
          <w:rPr>
            <w:rStyle w:val="Hyperlink"/>
          </w:rPr>
          <w:t>determination</w:t>
        </w:r>
      </w:hyperlink>
      <w:r w:rsidR="00B17E89">
        <w:t xml:space="preserve">, together with </w:t>
      </w:r>
      <w:r>
        <w:t>AEMO’s</w:t>
      </w:r>
      <w:r w:rsidR="00342A4A" w:rsidRPr="00342A4A">
        <w:t xml:space="preserve"> </w:t>
      </w:r>
      <w:r w:rsidR="00342A4A">
        <w:t>Interim Primary Frequency Response Requirements</w:t>
      </w:r>
      <w:r w:rsidR="00B17E89">
        <w:t>,</w:t>
      </w:r>
      <w:r>
        <w:t xml:space="preserve"> to understand the detailed requirements. </w:t>
      </w:r>
      <w:r w:rsidR="001F58C4">
        <w:t xml:space="preserve"> </w:t>
      </w:r>
      <w:r w:rsidR="00EB181A">
        <w:t xml:space="preserve">AEMO </w:t>
      </w:r>
      <w:r w:rsidR="00336F64">
        <w:t>may</w:t>
      </w:r>
      <w:r w:rsidR="00D16433">
        <w:t xml:space="preserve"> allow</w:t>
      </w:r>
      <w:r w:rsidR="00336F64">
        <w:t xml:space="preserve"> exemptions</w:t>
      </w:r>
      <w:r w:rsidR="000877E0">
        <w:t xml:space="preserve"> or variations</w:t>
      </w:r>
      <w:r w:rsidR="00336F64">
        <w:t xml:space="preserve"> on </w:t>
      </w:r>
      <w:r w:rsidR="000877E0">
        <w:t xml:space="preserve">limited </w:t>
      </w:r>
      <w:r w:rsidR="00336F64">
        <w:t>technical</w:t>
      </w:r>
      <w:r w:rsidR="000877E0">
        <w:t xml:space="preserve"> feasibility</w:t>
      </w:r>
      <w:r w:rsidR="00336F64">
        <w:t xml:space="preserve"> </w:t>
      </w:r>
      <w:r w:rsidR="00670741">
        <w:t>grounds</w:t>
      </w:r>
      <w:r w:rsidR="003E5F69">
        <w:t>,</w:t>
      </w:r>
      <w:r w:rsidR="00670741">
        <w:t xml:space="preserve"> as provided for in the rule and the </w:t>
      </w:r>
      <w:r w:rsidR="00342A4A">
        <w:t xml:space="preserve">Interim Primary Frequency Response Requirements </w:t>
      </w:r>
      <w:r w:rsidR="00793E2E">
        <w:t>(explained below)</w:t>
      </w:r>
      <w:r w:rsidR="00670741">
        <w:t xml:space="preserve">. </w:t>
      </w:r>
    </w:p>
    <w:p w14:paraId="540B2560" w14:textId="4E82BB40" w:rsidR="00787328" w:rsidRDefault="00787328" w:rsidP="00A639F7"/>
    <w:p w14:paraId="2D3D11DF" w14:textId="77777777" w:rsidR="00756839" w:rsidRPr="009F6C76" w:rsidRDefault="00756839" w:rsidP="00756839">
      <w:pPr>
        <w:rPr>
          <w:b/>
          <w:bCs/>
        </w:rPr>
      </w:pPr>
      <w:r w:rsidRPr="009F6C76">
        <w:rPr>
          <w:b/>
          <w:bCs/>
        </w:rPr>
        <w:t>Do I need to make changes to my plant on 4 June 2020?</w:t>
      </w:r>
    </w:p>
    <w:p w14:paraId="6BC88D7E" w14:textId="6530108B" w:rsidR="00282DC6" w:rsidRDefault="00756839" w:rsidP="00756839">
      <w:r>
        <w:t xml:space="preserve">No.  </w:t>
      </w:r>
      <w:r w:rsidR="00F728F3">
        <w:t>S</w:t>
      </w:r>
      <w:r w:rsidR="00282DC6">
        <w:t>elf-</w:t>
      </w:r>
      <w:r w:rsidR="008B45E7">
        <w:t>assessment</w:t>
      </w:r>
      <w:r w:rsidR="00F728F3">
        <w:t>s</w:t>
      </w:r>
      <w:r w:rsidR="00282DC6">
        <w:t>, as described below</w:t>
      </w:r>
      <w:r w:rsidR="00F728F3">
        <w:t xml:space="preserve">, commence on </w:t>
      </w:r>
      <w:r w:rsidR="0082451A">
        <w:t>4 June 2020</w:t>
      </w:r>
      <w:r w:rsidR="00282DC6">
        <w:t>.</w:t>
      </w:r>
      <w:r w:rsidR="00436948">
        <w:t xml:space="preserve"> </w:t>
      </w:r>
      <w:r w:rsidR="0082451A">
        <w:t>S</w:t>
      </w:r>
      <w:r w:rsidR="00282DC6">
        <w:t xml:space="preserve">etting changes </w:t>
      </w:r>
      <w:r w:rsidR="0082451A">
        <w:t>do not have to be made</w:t>
      </w:r>
      <w:r w:rsidR="00282DC6">
        <w:t xml:space="preserve"> until </w:t>
      </w:r>
      <w:r w:rsidR="009A2337">
        <w:t xml:space="preserve">the </w:t>
      </w:r>
      <w:r w:rsidR="00282DC6">
        <w:t>self</w:t>
      </w:r>
      <w:r w:rsidR="00F728F3">
        <w:t>-</w:t>
      </w:r>
      <w:r w:rsidR="00282DC6">
        <w:t xml:space="preserve">assessment process </w:t>
      </w:r>
      <w:r w:rsidR="00CE180B">
        <w:t>has been completed</w:t>
      </w:r>
      <w:r w:rsidR="0082451A">
        <w:t xml:space="preserve"> and AEMO has confirmed the PFR settings for an Affected GS</w:t>
      </w:r>
      <w:r w:rsidR="00282DC6">
        <w:t>.</w:t>
      </w:r>
    </w:p>
    <w:p w14:paraId="0CDCEEFC" w14:textId="7EC4D853" w:rsidR="009F6F33" w:rsidRDefault="00670741" w:rsidP="00756839">
      <w:r>
        <w:t xml:space="preserve">It is important </w:t>
      </w:r>
      <w:r w:rsidR="00436948">
        <w:t xml:space="preserve">that </w:t>
      </w:r>
      <w:r w:rsidR="00211BAD">
        <w:t xml:space="preserve">changes </w:t>
      </w:r>
      <w:r w:rsidR="000E3BDE">
        <w:t>are</w:t>
      </w:r>
      <w:r w:rsidR="00211BAD">
        <w:t xml:space="preserve"> </w:t>
      </w:r>
      <w:r w:rsidR="002B4ED6">
        <w:t xml:space="preserve">implemented </w:t>
      </w:r>
      <w:r w:rsidR="00211BAD">
        <w:t>in a</w:t>
      </w:r>
      <w:r w:rsidR="00B96F70">
        <w:t xml:space="preserve"> </w:t>
      </w:r>
      <w:r w:rsidR="00436948">
        <w:t xml:space="preserve">managed </w:t>
      </w:r>
      <w:r w:rsidR="00F64CFC">
        <w:t>way</w:t>
      </w:r>
      <w:r w:rsidR="006235B9">
        <w:t xml:space="preserve">, </w:t>
      </w:r>
      <w:r w:rsidR="003E5F69">
        <w:t xml:space="preserve">to </w:t>
      </w:r>
      <w:r w:rsidR="000D17AB">
        <w:t xml:space="preserve">monitor and </w:t>
      </w:r>
      <w:r w:rsidR="00F728F3">
        <w:t>address</w:t>
      </w:r>
      <w:r w:rsidR="000D17AB">
        <w:t xml:space="preserve"> the impacts on </w:t>
      </w:r>
      <w:r w:rsidR="008F18DD">
        <w:t xml:space="preserve">each </w:t>
      </w:r>
      <w:r w:rsidR="00C855F3">
        <w:t>Affected Generator</w:t>
      </w:r>
      <w:r w:rsidR="008F18DD">
        <w:t>’</w:t>
      </w:r>
      <w:r w:rsidR="00C855F3">
        <w:t xml:space="preserve">s </w:t>
      </w:r>
      <w:r w:rsidR="008F18DD">
        <w:t>plant</w:t>
      </w:r>
      <w:r w:rsidR="000D17AB">
        <w:t>,</w:t>
      </w:r>
      <w:r w:rsidR="00C855F3">
        <w:t xml:space="preserve"> and the power system as a whole</w:t>
      </w:r>
      <w:r w:rsidR="00F64CFC">
        <w:t>.</w:t>
      </w:r>
      <w:r w:rsidR="006538AE">
        <w:t xml:space="preserve"> </w:t>
      </w:r>
      <w:r w:rsidR="00211BAD">
        <w:t xml:space="preserve"> </w:t>
      </w:r>
    </w:p>
    <w:p w14:paraId="1AE357B4" w14:textId="3F933314" w:rsidR="00756839" w:rsidRDefault="0002115F" w:rsidP="00756839">
      <w:r>
        <w:t>There are no other operational changes:  G</w:t>
      </w:r>
      <w:r w:rsidR="00F54E49">
        <w:t>enerators</w:t>
      </w:r>
      <w:r w:rsidR="00004F88">
        <w:t xml:space="preserve"> </w:t>
      </w:r>
      <w:r w:rsidR="006538AE">
        <w:t xml:space="preserve">must </w:t>
      </w:r>
      <w:r w:rsidR="00A5278F">
        <w:t>seek</w:t>
      </w:r>
      <w:r w:rsidR="006538AE">
        <w:t xml:space="preserve"> </w:t>
      </w:r>
      <w:r w:rsidR="008F30A1">
        <w:t xml:space="preserve">AEMO’s approval before making changes to </w:t>
      </w:r>
      <w:r w:rsidR="005047E3">
        <w:t xml:space="preserve">their </w:t>
      </w:r>
      <w:r w:rsidR="008F30A1">
        <w:t>frequency control settings</w:t>
      </w:r>
      <w:r w:rsidR="009F6F33">
        <w:t xml:space="preserve">, </w:t>
      </w:r>
      <w:r w:rsidR="0040538E">
        <w:t xml:space="preserve">or </w:t>
      </w:r>
      <w:r w:rsidR="009F6F33">
        <w:t xml:space="preserve">before </w:t>
      </w:r>
      <w:r w:rsidR="005C61F7">
        <w:t>performing</w:t>
      </w:r>
      <w:r w:rsidR="009F6F33">
        <w:t xml:space="preserve"> </w:t>
      </w:r>
      <w:r>
        <w:t xml:space="preserve">any </w:t>
      </w:r>
      <w:r w:rsidR="009F6F33">
        <w:t>testing</w:t>
      </w:r>
      <w:r w:rsidR="0040538E">
        <w:t>.</w:t>
      </w:r>
    </w:p>
    <w:p w14:paraId="524B3D7A" w14:textId="77777777" w:rsidR="00756839" w:rsidRDefault="00756839" w:rsidP="00A639F7">
      <w:pPr>
        <w:rPr>
          <w:b/>
          <w:bCs/>
        </w:rPr>
      </w:pPr>
    </w:p>
    <w:p w14:paraId="4B8AB597" w14:textId="1A2A84EC" w:rsidR="00787328" w:rsidRPr="00787328" w:rsidRDefault="00787328" w:rsidP="00A639F7">
      <w:pPr>
        <w:rPr>
          <w:b/>
          <w:bCs/>
        </w:rPr>
      </w:pPr>
      <w:r w:rsidRPr="00787328">
        <w:rPr>
          <w:b/>
          <w:bCs/>
        </w:rPr>
        <w:t xml:space="preserve">How </w:t>
      </w:r>
      <w:r w:rsidR="006377CB">
        <w:rPr>
          <w:b/>
          <w:bCs/>
        </w:rPr>
        <w:t xml:space="preserve">and when </w:t>
      </w:r>
      <w:r w:rsidRPr="00787328">
        <w:rPr>
          <w:b/>
          <w:bCs/>
        </w:rPr>
        <w:t xml:space="preserve">will the </w:t>
      </w:r>
      <w:r w:rsidR="00666B7A">
        <w:rPr>
          <w:b/>
          <w:bCs/>
        </w:rPr>
        <w:t xml:space="preserve">PFR </w:t>
      </w:r>
      <w:r w:rsidRPr="00787328">
        <w:rPr>
          <w:b/>
          <w:bCs/>
        </w:rPr>
        <w:t>rule be implemented?</w:t>
      </w:r>
    </w:p>
    <w:p w14:paraId="3336F209" w14:textId="25C49939" w:rsidR="00910C30" w:rsidRDefault="007456B7" w:rsidP="00A639F7">
      <w:r>
        <w:t xml:space="preserve">AEMO </w:t>
      </w:r>
      <w:r w:rsidR="000E6411">
        <w:t xml:space="preserve">has consulted on and published </w:t>
      </w:r>
      <w:r>
        <w:t xml:space="preserve">the </w:t>
      </w:r>
      <w:hyperlink r:id="rId15" w:history="1">
        <w:r w:rsidR="00AB55ED">
          <w:rPr>
            <w:rStyle w:val="Hyperlink"/>
          </w:rPr>
          <w:t>Interim P</w:t>
        </w:r>
      </w:hyperlink>
      <w:r w:rsidR="008C57D2">
        <w:t>rimary Frequency Response Requirements</w:t>
      </w:r>
      <w:r w:rsidR="00EA525E">
        <w:t xml:space="preserve"> (IPFRR)</w:t>
      </w:r>
      <w:r w:rsidR="00AB55ED">
        <w:t xml:space="preserve">, which </w:t>
      </w:r>
      <w:r w:rsidR="00A816ED">
        <w:t xml:space="preserve">provide information on </w:t>
      </w:r>
      <w:r w:rsidR="00180AE8">
        <w:t xml:space="preserve">the </w:t>
      </w:r>
      <w:r w:rsidR="00205967">
        <w:t xml:space="preserve">implementation </w:t>
      </w:r>
      <w:r w:rsidR="00EA525E">
        <w:t>of PFR settings to Affected GS</w:t>
      </w:r>
      <w:r w:rsidR="00AB55ED">
        <w:t xml:space="preserve">. </w:t>
      </w:r>
      <w:r w:rsidR="003449A4" w:rsidDel="00DE4D08">
        <w:t xml:space="preserve"> </w:t>
      </w:r>
      <w:r w:rsidR="00EA525E">
        <w:t>I</w:t>
      </w:r>
      <w:r w:rsidR="003449A4">
        <w:t>mplement</w:t>
      </w:r>
      <w:r w:rsidR="00EA525E">
        <w:t>ation</w:t>
      </w:r>
      <w:r w:rsidR="0069406E">
        <w:t xml:space="preserve"> will occur</w:t>
      </w:r>
      <w:r w:rsidR="003449A4">
        <w:t xml:space="preserve"> in three tranches</w:t>
      </w:r>
      <w:r w:rsidR="00A816ED">
        <w:t>,</w:t>
      </w:r>
      <w:r w:rsidR="00E12FD5">
        <w:t xml:space="preserve"> based on the size of </w:t>
      </w:r>
      <w:r w:rsidR="006155ED">
        <w:t xml:space="preserve">affected </w:t>
      </w:r>
      <w:r w:rsidR="00E12FD5">
        <w:t>generating systems</w:t>
      </w:r>
      <w:r w:rsidR="00772FB9">
        <w:t>.</w:t>
      </w:r>
      <w:r w:rsidR="00AB55ED">
        <w:t xml:space="preserve"> </w:t>
      </w:r>
    </w:p>
    <w:p w14:paraId="16B093D3" w14:textId="398A496E" w:rsidR="00657244" w:rsidRDefault="00EC2820" w:rsidP="00A639F7">
      <w:r>
        <w:t>The first stage of implementation involves a self-assessment by Affected Generators of their plant’s inherent capability to deliver PFR</w:t>
      </w:r>
      <w:r w:rsidR="00351763">
        <w:t>, with proposed due dates shown below</w:t>
      </w:r>
      <w:r>
        <w:t xml:space="preserve">.  </w:t>
      </w:r>
      <w:r w:rsidR="0069406E">
        <w:t>The nameplate ratings relate to the registered capacity by DUID.</w:t>
      </w:r>
    </w:p>
    <w:tbl>
      <w:tblPr>
        <w:tblW w:w="8080" w:type="dxa"/>
        <w:tblInd w:w="274" w:type="dxa"/>
        <w:tblCellMar>
          <w:left w:w="0" w:type="dxa"/>
          <w:right w:w="0" w:type="dxa"/>
        </w:tblCellMar>
        <w:tblLook w:val="0420" w:firstRow="1" w:lastRow="0" w:firstColumn="0" w:lastColumn="0" w:noHBand="0" w:noVBand="1"/>
      </w:tblPr>
      <w:tblGrid>
        <w:gridCol w:w="3969"/>
        <w:gridCol w:w="4111"/>
      </w:tblGrid>
      <w:tr w:rsidR="003449A4" w14:paraId="4487D997" w14:textId="77777777" w:rsidTr="00D874CE">
        <w:trPr>
          <w:trHeight w:val="20"/>
          <w:tblHeader/>
        </w:trPr>
        <w:tc>
          <w:tcPr>
            <w:tcW w:w="3969" w:type="dxa"/>
            <w:tcBorders>
              <w:top w:val="single" w:sz="8" w:space="0" w:color="FFFFFF"/>
              <w:left w:val="single" w:sz="8" w:space="0" w:color="FFFFFF"/>
              <w:bottom w:val="single" w:sz="24" w:space="0" w:color="FFFFFF"/>
              <w:right w:val="single" w:sz="8" w:space="0" w:color="FFFFFF"/>
            </w:tcBorders>
            <w:shd w:val="clear" w:color="auto" w:fill="C41230"/>
            <w:tcMar>
              <w:top w:w="72" w:type="dxa"/>
              <w:left w:w="144" w:type="dxa"/>
              <w:bottom w:w="72" w:type="dxa"/>
              <w:right w:w="144" w:type="dxa"/>
            </w:tcMar>
            <w:hideMark/>
          </w:tcPr>
          <w:p w14:paraId="1F9B284D" w14:textId="77777777" w:rsidR="003449A4" w:rsidRDefault="003449A4">
            <w:pPr>
              <w:pStyle w:val="TableText"/>
              <w:rPr>
                <w:rFonts w:cs="Arial"/>
                <w:b/>
                <w:color w:val="FFFFFF" w:themeColor="background1"/>
                <w:sz w:val="20"/>
                <w:szCs w:val="36"/>
                <w:lang w:eastAsia="en-AU"/>
              </w:rPr>
            </w:pPr>
            <w:r>
              <w:rPr>
                <w:b/>
                <w:color w:val="FFFFFF" w:themeColor="background1"/>
                <w:sz w:val="20"/>
                <w:lang w:eastAsia="en-AU"/>
              </w:rPr>
              <w:t>Nameplate Rating of Affected GS</w:t>
            </w:r>
          </w:p>
        </w:tc>
        <w:tc>
          <w:tcPr>
            <w:tcW w:w="4111" w:type="dxa"/>
            <w:tcBorders>
              <w:top w:val="single" w:sz="8" w:space="0" w:color="FFFFFF"/>
              <w:left w:val="single" w:sz="8" w:space="0" w:color="FFFFFF"/>
              <w:bottom w:val="single" w:sz="24" w:space="0" w:color="FFFFFF"/>
              <w:right w:val="single" w:sz="8" w:space="0" w:color="FFFFFF"/>
            </w:tcBorders>
            <w:shd w:val="clear" w:color="auto" w:fill="C41230"/>
            <w:tcMar>
              <w:top w:w="72" w:type="dxa"/>
              <w:left w:w="144" w:type="dxa"/>
              <w:bottom w:w="72" w:type="dxa"/>
              <w:right w:w="144" w:type="dxa"/>
            </w:tcMar>
            <w:hideMark/>
          </w:tcPr>
          <w:p w14:paraId="1E65DACE" w14:textId="6BF9361A" w:rsidR="003449A4" w:rsidRDefault="003449A4">
            <w:pPr>
              <w:pStyle w:val="TableText"/>
              <w:rPr>
                <w:rFonts w:cs="Arial"/>
                <w:b/>
                <w:color w:val="FFFFFF" w:themeColor="background1"/>
                <w:sz w:val="20"/>
                <w:szCs w:val="36"/>
                <w:lang w:eastAsia="en-AU"/>
              </w:rPr>
            </w:pPr>
            <w:r>
              <w:rPr>
                <w:b/>
                <w:color w:val="FFFFFF" w:themeColor="background1"/>
                <w:sz w:val="20"/>
                <w:lang w:eastAsia="en-AU"/>
              </w:rPr>
              <w:t xml:space="preserve">Self-Assessment Due </w:t>
            </w:r>
          </w:p>
        </w:tc>
      </w:tr>
      <w:tr w:rsidR="003449A4" w14:paraId="74CB8ABF" w14:textId="77777777" w:rsidTr="00D874CE">
        <w:trPr>
          <w:trHeight w:val="20"/>
        </w:trPr>
        <w:tc>
          <w:tcPr>
            <w:tcW w:w="3969" w:type="dxa"/>
            <w:tcBorders>
              <w:top w:val="single" w:sz="24" w:space="0" w:color="FFFFFF"/>
              <w:left w:val="single" w:sz="8" w:space="0" w:color="FFFFFF"/>
              <w:bottom w:val="single" w:sz="8" w:space="0" w:color="FFFFFF"/>
              <w:right w:val="single" w:sz="8" w:space="0" w:color="FFFFFF"/>
            </w:tcBorders>
            <w:shd w:val="clear" w:color="auto" w:fill="EACCCD"/>
            <w:tcMar>
              <w:top w:w="72" w:type="dxa"/>
              <w:left w:w="144" w:type="dxa"/>
              <w:bottom w:w="72" w:type="dxa"/>
              <w:right w:w="144" w:type="dxa"/>
            </w:tcMar>
            <w:hideMark/>
          </w:tcPr>
          <w:p w14:paraId="2AB35E02" w14:textId="77777777" w:rsidR="003449A4" w:rsidRDefault="003449A4">
            <w:pPr>
              <w:pStyle w:val="TableText"/>
              <w:rPr>
                <w:rFonts w:cs="Arial"/>
                <w:sz w:val="20"/>
                <w:szCs w:val="36"/>
                <w:lang w:eastAsia="en-AU"/>
              </w:rPr>
            </w:pPr>
            <w:r>
              <w:rPr>
                <w:color w:val="222324"/>
                <w:sz w:val="20"/>
                <w:u w:val="single"/>
                <w:lang w:eastAsia="en-AU"/>
              </w:rPr>
              <w:t>&gt;</w:t>
            </w:r>
            <w:r>
              <w:rPr>
                <w:color w:val="222324"/>
                <w:sz w:val="20"/>
                <w:lang w:eastAsia="en-AU"/>
              </w:rPr>
              <w:t>200 MW</w:t>
            </w:r>
          </w:p>
        </w:tc>
        <w:tc>
          <w:tcPr>
            <w:tcW w:w="4111" w:type="dxa"/>
            <w:tcBorders>
              <w:top w:val="single" w:sz="24" w:space="0" w:color="FFFFFF"/>
              <w:left w:val="single" w:sz="8" w:space="0" w:color="FFFFFF"/>
              <w:bottom w:val="single" w:sz="8" w:space="0" w:color="FFFFFF"/>
              <w:right w:val="single" w:sz="8" w:space="0" w:color="FFFFFF"/>
            </w:tcBorders>
            <w:shd w:val="clear" w:color="auto" w:fill="EACCCD"/>
            <w:tcMar>
              <w:top w:w="72" w:type="dxa"/>
              <w:left w:w="144" w:type="dxa"/>
              <w:bottom w:w="72" w:type="dxa"/>
              <w:right w:w="144" w:type="dxa"/>
            </w:tcMar>
            <w:hideMark/>
          </w:tcPr>
          <w:p w14:paraId="3E2A38A3" w14:textId="2DB97B75" w:rsidR="003449A4" w:rsidRPr="000917FD" w:rsidRDefault="00567900">
            <w:pPr>
              <w:pStyle w:val="TableText"/>
              <w:rPr>
                <w:rFonts w:cs="Arial"/>
                <w:iCs/>
                <w:sz w:val="20"/>
                <w:szCs w:val="36"/>
                <w:lang w:eastAsia="en-AU"/>
              </w:rPr>
            </w:pPr>
            <w:r>
              <w:rPr>
                <w:color w:val="222324"/>
                <w:sz w:val="20"/>
                <w:lang w:eastAsia="en-AU"/>
              </w:rPr>
              <w:t>27 August 2020 (</w:t>
            </w:r>
            <w:r w:rsidR="003449A4">
              <w:rPr>
                <w:color w:val="222324"/>
                <w:sz w:val="20"/>
                <w:lang w:eastAsia="en-AU"/>
              </w:rPr>
              <w:t xml:space="preserve">60 </w:t>
            </w:r>
            <w:r w:rsidR="003449A4">
              <w:rPr>
                <w:i/>
                <w:color w:val="222324"/>
                <w:sz w:val="20"/>
                <w:lang w:eastAsia="en-AU"/>
              </w:rPr>
              <w:t>business days</w:t>
            </w:r>
            <w:r w:rsidR="000917FD">
              <w:rPr>
                <w:i/>
                <w:color w:val="222324"/>
                <w:sz w:val="20"/>
                <w:lang w:eastAsia="en-AU"/>
              </w:rPr>
              <w:t xml:space="preserve"> </w:t>
            </w:r>
            <w:r w:rsidR="000917FD">
              <w:rPr>
                <w:iCs/>
                <w:color w:val="222324"/>
                <w:sz w:val="20"/>
                <w:lang w:eastAsia="en-AU"/>
              </w:rPr>
              <w:t>after 4 June</w:t>
            </w:r>
            <w:r>
              <w:rPr>
                <w:iCs/>
                <w:color w:val="222324"/>
                <w:sz w:val="20"/>
                <w:lang w:eastAsia="en-AU"/>
              </w:rPr>
              <w:t>)</w:t>
            </w:r>
          </w:p>
        </w:tc>
      </w:tr>
      <w:tr w:rsidR="003449A4" w14:paraId="752E3FCB" w14:textId="77777777" w:rsidTr="00D874CE">
        <w:trPr>
          <w:trHeight w:val="20"/>
        </w:trPr>
        <w:tc>
          <w:tcPr>
            <w:tcW w:w="3969" w:type="dxa"/>
            <w:tcBorders>
              <w:top w:val="single" w:sz="8" w:space="0" w:color="FFFFFF"/>
              <w:left w:val="single" w:sz="8" w:space="0" w:color="FFFFFF"/>
              <w:bottom w:val="single" w:sz="8" w:space="0" w:color="FFFFFF"/>
              <w:right w:val="single" w:sz="8" w:space="0" w:color="FFFFFF"/>
            </w:tcBorders>
            <w:shd w:val="clear" w:color="auto" w:fill="F5E7E8"/>
            <w:tcMar>
              <w:top w:w="72" w:type="dxa"/>
              <w:left w:w="144" w:type="dxa"/>
              <w:bottom w:w="72" w:type="dxa"/>
              <w:right w:w="144" w:type="dxa"/>
            </w:tcMar>
            <w:hideMark/>
          </w:tcPr>
          <w:p w14:paraId="3F96B0CE" w14:textId="77777777" w:rsidR="003449A4" w:rsidRDefault="003449A4">
            <w:pPr>
              <w:pStyle w:val="TableText"/>
              <w:rPr>
                <w:rFonts w:cs="Arial"/>
                <w:sz w:val="20"/>
                <w:szCs w:val="36"/>
                <w:lang w:eastAsia="en-AU"/>
              </w:rPr>
            </w:pPr>
            <w:r>
              <w:rPr>
                <w:color w:val="222324"/>
                <w:sz w:val="20"/>
                <w:lang w:eastAsia="en-AU"/>
              </w:rPr>
              <w:t>Between 200 MW and 80 MW</w:t>
            </w:r>
          </w:p>
        </w:tc>
        <w:tc>
          <w:tcPr>
            <w:tcW w:w="4111" w:type="dxa"/>
            <w:tcBorders>
              <w:top w:val="single" w:sz="8" w:space="0" w:color="FFFFFF"/>
              <w:left w:val="single" w:sz="8" w:space="0" w:color="FFFFFF"/>
              <w:bottom w:val="single" w:sz="8" w:space="0" w:color="FFFFFF"/>
              <w:right w:val="single" w:sz="8" w:space="0" w:color="FFFFFF"/>
            </w:tcBorders>
            <w:shd w:val="clear" w:color="auto" w:fill="F5E7E8"/>
            <w:tcMar>
              <w:top w:w="72" w:type="dxa"/>
              <w:left w:w="144" w:type="dxa"/>
              <w:bottom w:w="72" w:type="dxa"/>
              <w:right w:w="144" w:type="dxa"/>
            </w:tcMar>
            <w:hideMark/>
          </w:tcPr>
          <w:p w14:paraId="1309AC93" w14:textId="7BA884B2" w:rsidR="003449A4" w:rsidRDefault="00B11AF5">
            <w:pPr>
              <w:pStyle w:val="TableText"/>
              <w:rPr>
                <w:rFonts w:cs="Arial"/>
                <w:sz w:val="20"/>
                <w:szCs w:val="36"/>
                <w:lang w:eastAsia="en-AU"/>
              </w:rPr>
            </w:pPr>
            <w:r>
              <w:rPr>
                <w:color w:val="222324"/>
                <w:sz w:val="20"/>
                <w:lang w:eastAsia="en-AU"/>
              </w:rPr>
              <w:t>19 November 2020</w:t>
            </w:r>
            <w:r w:rsidR="009A2767">
              <w:rPr>
                <w:color w:val="222324"/>
                <w:sz w:val="20"/>
                <w:lang w:eastAsia="en-AU"/>
              </w:rPr>
              <w:t xml:space="preserve"> </w:t>
            </w:r>
            <w:r w:rsidR="00B80A6D">
              <w:rPr>
                <w:color w:val="222324"/>
                <w:sz w:val="20"/>
                <w:lang w:eastAsia="en-AU"/>
              </w:rPr>
              <w:t>(</w:t>
            </w:r>
            <w:r w:rsidR="003449A4">
              <w:rPr>
                <w:color w:val="222324"/>
                <w:sz w:val="20"/>
                <w:lang w:eastAsia="en-AU"/>
              </w:rPr>
              <w:t xml:space="preserve">120 </w:t>
            </w:r>
            <w:r w:rsidR="003449A4">
              <w:rPr>
                <w:i/>
                <w:color w:val="222324"/>
                <w:sz w:val="20"/>
                <w:lang w:eastAsia="en-AU"/>
              </w:rPr>
              <w:t>business days</w:t>
            </w:r>
            <w:r w:rsidR="00B80A6D">
              <w:rPr>
                <w:iCs/>
                <w:color w:val="222324"/>
                <w:sz w:val="20"/>
                <w:lang w:eastAsia="en-AU"/>
              </w:rPr>
              <w:t>)</w:t>
            </w:r>
            <w:r w:rsidR="003449A4">
              <w:rPr>
                <w:color w:val="222324"/>
                <w:sz w:val="20"/>
                <w:lang w:eastAsia="en-AU"/>
              </w:rPr>
              <w:t xml:space="preserve"> </w:t>
            </w:r>
          </w:p>
        </w:tc>
      </w:tr>
      <w:tr w:rsidR="003449A4" w14:paraId="0AE33E00" w14:textId="77777777" w:rsidTr="00D874CE">
        <w:trPr>
          <w:trHeight w:val="20"/>
        </w:trPr>
        <w:tc>
          <w:tcPr>
            <w:tcW w:w="3969" w:type="dxa"/>
            <w:tcBorders>
              <w:top w:val="single" w:sz="8" w:space="0" w:color="FFFFFF"/>
              <w:left w:val="single" w:sz="8" w:space="0" w:color="FFFFFF"/>
              <w:bottom w:val="single" w:sz="8" w:space="0" w:color="FFFFFF"/>
              <w:right w:val="single" w:sz="8" w:space="0" w:color="FFFFFF"/>
            </w:tcBorders>
            <w:shd w:val="clear" w:color="auto" w:fill="EACCCD"/>
            <w:tcMar>
              <w:top w:w="72" w:type="dxa"/>
              <w:left w:w="144" w:type="dxa"/>
              <w:bottom w:w="72" w:type="dxa"/>
              <w:right w:w="144" w:type="dxa"/>
            </w:tcMar>
            <w:hideMark/>
          </w:tcPr>
          <w:p w14:paraId="0A523806" w14:textId="77777777" w:rsidR="003449A4" w:rsidRDefault="003449A4">
            <w:pPr>
              <w:pStyle w:val="TableText"/>
              <w:rPr>
                <w:rFonts w:cs="Arial"/>
                <w:sz w:val="20"/>
                <w:szCs w:val="36"/>
                <w:lang w:eastAsia="en-AU"/>
              </w:rPr>
            </w:pPr>
            <w:r>
              <w:rPr>
                <w:color w:val="222324"/>
                <w:sz w:val="20"/>
                <w:lang w:eastAsia="en-AU"/>
              </w:rPr>
              <w:t>&lt;80 MW</w:t>
            </w:r>
          </w:p>
        </w:tc>
        <w:tc>
          <w:tcPr>
            <w:tcW w:w="4111" w:type="dxa"/>
            <w:tcBorders>
              <w:top w:val="single" w:sz="8" w:space="0" w:color="FFFFFF"/>
              <w:left w:val="single" w:sz="8" w:space="0" w:color="FFFFFF"/>
              <w:bottom w:val="single" w:sz="8" w:space="0" w:color="FFFFFF"/>
              <w:right w:val="single" w:sz="8" w:space="0" w:color="FFFFFF"/>
            </w:tcBorders>
            <w:shd w:val="clear" w:color="auto" w:fill="EACCCD"/>
            <w:tcMar>
              <w:top w:w="72" w:type="dxa"/>
              <w:left w:w="144" w:type="dxa"/>
              <w:bottom w:w="72" w:type="dxa"/>
              <w:right w:w="144" w:type="dxa"/>
            </w:tcMar>
            <w:hideMark/>
          </w:tcPr>
          <w:p w14:paraId="0F3BF99A" w14:textId="59814F5B" w:rsidR="003449A4" w:rsidRPr="00B80A6D" w:rsidRDefault="00A35832">
            <w:pPr>
              <w:pStyle w:val="TableText"/>
              <w:rPr>
                <w:rFonts w:cs="Arial"/>
                <w:iCs/>
                <w:sz w:val="20"/>
                <w:szCs w:val="36"/>
                <w:lang w:eastAsia="en-AU"/>
              </w:rPr>
            </w:pPr>
            <w:r>
              <w:rPr>
                <w:color w:val="222324"/>
                <w:sz w:val="20"/>
                <w:lang w:eastAsia="en-AU"/>
              </w:rPr>
              <w:t>17 February 2021</w:t>
            </w:r>
            <w:r w:rsidR="009A2767">
              <w:rPr>
                <w:color w:val="222324"/>
                <w:sz w:val="20"/>
                <w:lang w:eastAsia="en-AU"/>
              </w:rPr>
              <w:t xml:space="preserve"> </w:t>
            </w:r>
            <w:r w:rsidR="00B80A6D">
              <w:rPr>
                <w:color w:val="222324"/>
                <w:sz w:val="20"/>
                <w:lang w:eastAsia="en-AU"/>
              </w:rPr>
              <w:t>(</w:t>
            </w:r>
            <w:r w:rsidR="003449A4">
              <w:rPr>
                <w:color w:val="222324"/>
                <w:sz w:val="20"/>
                <w:lang w:eastAsia="en-AU"/>
              </w:rPr>
              <w:t xml:space="preserve">180 </w:t>
            </w:r>
            <w:r w:rsidR="003449A4">
              <w:rPr>
                <w:i/>
                <w:color w:val="222324"/>
                <w:sz w:val="20"/>
                <w:lang w:eastAsia="en-AU"/>
              </w:rPr>
              <w:t>business days</w:t>
            </w:r>
            <w:r w:rsidR="00B80A6D">
              <w:rPr>
                <w:iCs/>
                <w:color w:val="222324"/>
                <w:sz w:val="20"/>
                <w:lang w:eastAsia="en-AU"/>
              </w:rPr>
              <w:t>)</w:t>
            </w:r>
          </w:p>
        </w:tc>
      </w:tr>
    </w:tbl>
    <w:p w14:paraId="4D8C9DF3" w14:textId="609B3A02" w:rsidR="00772FB9" w:rsidRDefault="007F24B6" w:rsidP="00DD1B6A">
      <w:pPr>
        <w:spacing w:before="120"/>
      </w:pPr>
      <w:r>
        <w:t xml:space="preserve">AEMO </w:t>
      </w:r>
      <w:r w:rsidR="009B3D50">
        <w:t>will then review the self</w:t>
      </w:r>
      <w:r w:rsidR="00B76434">
        <w:t>-</w:t>
      </w:r>
      <w:r w:rsidR="009B3D50">
        <w:t>assessment</w:t>
      </w:r>
      <w:r w:rsidR="00811F5F">
        <w:t xml:space="preserve"> result</w:t>
      </w:r>
      <w:r w:rsidR="009B3D50">
        <w:t>s and coordinate</w:t>
      </w:r>
      <w:r w:rsidR="00453B6F">
        <w:t xml:space="preserve"> with the relevant Affected Generators </w:t>
      </w:r>
      <w:r w:rsidR="00165374">
        <w:t xml:space="preserve">to complete </w:t>
      </w:r>
      <w:r w:rsidR="009B3D50">
        <w:t>the process of making</w:t>
      </w:r>
      <w:r w:rsidR="00165374">
        <w:t xml:space="preserve">, testing and implementing </w:t>
      </w:r>
      <w:r w:rsidR="002514E8">
        <w:t xml:space="preserve">any settings or control system </w:t>
      </w:r>
      <w:r w:rsidR="00165374">
        <w:t>changes needed</w:t>
      </w:r>
      <w:r w:rsidR="00076EC2">
        <w:t>.</w:t>
      </w:r>
    </w:p>
    <w:p w14:paraId="5D365D26" w14:textId="77777777" w:rsidR="00DD3A99" w:rsidRDefault="00DD3A99" w:rsidP="00A639F7">
      <w:pPr>
        <w:rPr>
          <w:b/>
          <w:bCs/>
        </w:rPr>
      </w:pPr>
    </w:p>
    <w:p w14:paraId="6B1ECE5E" w14:textId="2A618815" w:rsidR="00A639F7" w:rsidRDefault="00A639F7" w:rsidP="00A639F7">
      <w:r w:rsidRPr="00A639F7">
        <w:rPr>
          <w:b/>
          <w:bCs/>
        </w:rPr>
        <w:lastRenderedPageBreak/>
        <w:t>What do I need to do?</w:t>
      </w:r>
      <w:r w:rsidR="001E1C0D">
        <w:rPr>
          <w:b/>
          <w:bCs/>
        </w:rPr>
        <w:t xml:space="preserve"> </w:t>
      </w:r>
      <w:r w:rsidR="00836ECB">
        <w:t>T</w:t>
      </w:r>
      <w:r w:rsidR="004114AD">
        <w:t>he PFR</w:t>
      </w:r>
      <w:r>
        <w:t xml:space="preserve"> rule will require </w:t>
      </w:r>
      <w:r w:rsidR="004114AD">
        <w:t xml:space="preserve">Affected Generators </w:t>
      </w:r>
      <w:r>
        <w:t xml:space="preserve">to make the MW output of </w:t>
      </w:r>
      <w:r w:rsidR="004114AD">
        <w:t xml:space="preserve">their </w:t>
      </w:r>
      <w:r>
        <w:t xml:space="preserve">plant responsive to </w:t>
      </w:r>
      <w:r w:rsidR="001E1C0D">
        <w:t xml:space="preserve">changes in power system </w:t>
      </w:r>
      <w:r>
        <w:t xml:space="preserve">frequency on an ongoing basis, </w:t>
      </w:r>
      <w:r w:rsidR="0036779C">
        <w:t xml:space="preserve">but only </w:t>
      </w:r>
      <w:r>
        <w:t>to the degree this can reasonably be achieved.</w:t>
      </w:r>
    </w:p>
    <w:p w14:paraId="6EF83AD8" w14:textId="77777777" w:rsidR="00A77817" w:rsidRDefault="007E216A" w:rsidP="00A639F7">
      <w:r>
        <w:t>First</w:t>
      </w:r>
      <w:r w:rsidR="001E1C0D">
        <w:t xml:space="preserve">, you </w:t>
      </w:r>
      <w:r w:rsidR="000C4F5F">
        <w:t>need</w:t>
      </w:r>
      <w:r w:rsidR="001E1C0D">
        <w:t xml:space="preserve"> to conduct a self-assessment of your plant’s </w:t>
      </w:r>
      <w:r w:rsidR="00D57492">
        <w:t xml:space="preserve">inherent </w:t>
      </w:r>
      <w:r w:rsidR="001E1C0D">
        <w:t>capability to deliver PFR</w:t>
      </w:r>
      <w:r w:rsidR="000C076D">
        <w:t xml:space="preserve">, for each </w:t>
      </w:r>
      <w:r w:rsidR="00301026">
        <w:t xml:space="preserve">of your </w:t>
      </w:r>
      <w:r w:rsidR="00AC32A0">
        <w:t xml:space="preserve">scheduled and semi-scheduled generating </w:t>
      </w:r>
      <w:r w:rsidR="00FE1FB5">
        <w:t>systems</w:t>
      </w:r>
      <w:r w:rsidR="001E1C0D">
        <w:t xml:space="preserve">.  </w:t>
      </w:r>
      <w:r w:rsidR="00AC2CA9" w:rsidRPr="00AC2CA9">
        <w:t>This process includes your assessment of any control system or plant changes necessary to achieve the PFRR.</w:t>
      </w:r>
      <w:r w:rsidR="00AC2CA9">
        <w:t xml:space="preserve"> </w:t>
      </w:r>
    </w:p>
    <w:p w14:paraId="1CC1DDF1" w14:textId="3FBAE942" w:rsidR="00CB6475" w:rsidRDefault="000C076D" w:rsidP="00A639F7">
      <w:r>
        <w:t>T</w:t>
      </w:r>
      <w:r w:rsidR="001E1C0D">
        <w:t xml:space="preserve">he </w:t>
      </w:r>
      <w:hyperlink r:id="rId16" w:history="1">
        <w:r w:rsidR="00983861">
          <w:rPr>
            <w:rStyle w:val="Hyperlink"/>
          </w:rPr>
          <w:t>IPFRR</w:t>
        </w:r>
      </w:hyperlink>
      <w:r w:rsidR="00E73935">
        <w:t xml:space="preserve"> </w:t>
      </w:r>
      <w:r w:rsidR="00E73935" w:rsidRPr="00E73935">
        <w:t>set out the information and evidence required, including a res</w:t>
      </w:r>
      <w:r w:rsidR="00794ABD">
        <w:t xml:space="preserve">ults </w:t>
      </w:r>
      <w:r w:rsidR="00E73935" w:rsidRPr="00E73935">
        <w:t>template</w:t>
      </w:r>
      <w:r w:rsidR="00E73935">
        <w:t>.</w:t>
      </w:r>
      <w:r w:rsidR="001E1C0D">
        <w:t xml:space="preserve"> </w:t>
      </w:r>
      <w:r w:rsidR="006E3334">
        <w:t xml:space="preserve"> </w:t>
      </w:r>
    </w:p>
    <w:p w14:paraId="5FE2ED17" w14:textId="79279CDD" w:rsidR="00A77817" w:rsidRDefault="00531F99" w:rsidP="00A639F7">
      <w:r>
        <w:t>G</w:t>
      </w:r>
      <w:r w:rsidR="00A77817">
        <w:t xml:space="preserve">enerators </w:t>
      </w:r>
      <w:r>
        <w:t>are free to</w:t>
      </w:r>
      <w:r w:rsidR="00A77817">
        <w:t xml:space="preserve"> contact AEMO prior to submitting </w:t>
      </w:r>
      <w:r>
        <w:t>the results of their</w:t>
      </w:r>
      <w:r w:rsidR="00A77817">
        <w:t xml:space="preserve"> self-assessment,</w:t>
      </w:r>
      <w:r w:rsidR="0051768B">
        <w:t xml:space="preserve"> particularly </w:t>
      </w:r>
      <w:r w:rsidR="006062B9">
        <w:t xml:space="preserve">where an exemption or variation </w:t>
      </w:r>
      <w:r w:rsidR="00A2244F">
        <w:t xml:space="preserve">is </w:t>
      </w:r>
      <w:r w:rsidR="00BA3AEB">
        <w:t>will be</w:t>
      </w:r>
      <w:r>
        <w:t xml:space="preserve"> sought</w:t>
      </w:r>
      <w:r w:rsidR="006062B9">
        <w:t xml:space="preserve"> </w:t>
      </w:r>
      <w:r w:rsidR="0051768B">
        <w:t xml:space="preserve">to ensure that sufficient information is provided to support </w:t>
      </w:r>
      <w:r>
        <w:t>it</w:t>
      </w:r>
      <w:r w:rsidR="0051768B">
        <w:t>.</w:t>
      </w:r>
    </w:p>
    <w:p w14:paraId="276E66DC" w14:textId="36C7D1E2" w:rsidR="004177D2" w:rsidRDefault="00BA3AEB" w:rsidP="00A639F7">
      <w:r>
        <w:t>Self-assessment results should be submitted by the Registered Participant of an Affected GS.  If not, the applicant</w:t>
      </w:r>
      <w:r w:rsidR="004177D2">
        <w:t xml:space="preserve"> </w:t>
      </w:r>
      <w:r w:rsidR="006C4F75">
        <w:t xml:space="preserve">(party submitting the results) </w:t>
      </w:r>
      <w:r w:rsidR="004177D2">
        <w:t xml:space="preserve">should </w:t>
      </w:r>
      <w:r w:rsidR="006C4F75">
        <w:t>clarify</w:t>
      </w:r>
      <w:r w:rsidR="004177D2">
        <w:t xml:space="preserve"> the relationship between the Registered Participant and </w:t>
      </w:r>
      <w:r w:rsidR="006C4F75">
        <w:t>the applicant</w:t>
      </w:r>
      <w:r w:rsidR="00900859">
        <w:t>.</w:t>
      </w:r>
    </w:p>
    <w:p w14:paraId="7FA7020C" w14:textId="66B4411F" w:rsidR="00A639F7" w:rsidRDefault="001E1C0D" w:rsidP="00A639F7">
      <w:r>
        <w:t xml:space="preserve">Once AEMO has reviewed the </w:t>
      </w:r>
      <w:r w:rsidR="006C4F75">
        <w:t xml:space="preserve">results of the </w:t>
      </w:r>
      <w:r>
        <w:t xml:space="preserve">self-assessments, AEMO will </w:t>
      </w:r>
      <w:r w:rsidR="00D57492">
        <w:t>contact</w:t>
      </w:r>
      <w:r>
        <w:t xml:space="preserve"> Affected Generator</w:t>
      </w:r>
      <w:r w:rsidR="00F00767">
        <w:t>s</w:t>
      </w:r>
      <w:r>
        <w:t xml:space="preserve"> to</w:t>
      </w:r>
      <w:r w:rsidR="00A639F7">
        <w:t xml:space="preserve"> coordinate </w:t>
      </w:r>
      <w:r w:rsidR="00D57492">
        <w:t>the changes they need to make</w:t>
      </w:r>
      <w:r w:rsidR="00A639F7">
        <w:t xml:space="preserve"> to implement </w:t>
      </w:r>
      <w:r w:rsidR="00D57492">
        <w:t>the changed</w:t>
      </w:r>
      <w:r>
        <w:t xml:space="preserve"> </w:t>
      </w:r>
      <w:r w:rsidR="00A639F7">
        <w:t xml:space="preserve">settings </w:t>
      </w:r>
      <w:r w:rsidR="00D57492">
        <w:t xml:space="preserve">to </w:t>
      </w:r>
      <w:r w:rsidR="006E3334">
        <w:t xml:space="preserve">their </w:t>
      </w:r>
      <w:r w:rsidR="00A639F7">
        <w:t>plant</w:t>
      </w:r>
      <w:r w:rsidR="006E7D04">
        <w:t>, and when</w:t>
      </w:r>
      <w:r w:rsidR="00A639F7">
        <w:t>.</w:t>
      </w:r>
      <w:r w:rsidR="006D1B02">
        <w:t xml:space="preserve">  No changes should be made without AEMO’s confirmation of the PFR Settings and timing of the changes to be made.</w:t>
      </w:r>
    </w:p>
    <w:p w14:paraId="6CA431BE" w14:textId="77777777" w:rsidR="00A95C83" w:rsidRDefault="00A95C83" w:rsidP="00225F24">
      <w:pPr>
        <w:rPr>
          <w:b/>
          <w:bCs/>
        </w:rPr>
      </w:pPr>
    </w:p>
    <w:p w14:paraId="6CE9DDFB" w14:textId="2C3334D4" w:rsidR="00225F24" w:rsidRPr="009D3ECD" w:rsidRDefault="00225F24" w:rsidP="00225F24">
      <w:pPr>
        <w:rPr>
          <w:b/>
          <w:bCs/>
        </w:rPr>
      </w:pPr>
      <w:r w:rsidRPr="009D3ECD">
        <w:rPr>
          <w:b/>
          <w:bCs/>
        </w:rPr>
        <w:t>What if my plant is running at maximum or minimum output?</w:t>
      </w:r>
    </w:p>
    <w:p w14:paraId="62F5C5A4" w14:textId="399A1A0A" w:rsidR="00225F24" w:rsidRDefault="00225F24" w:rsidP="00225F24">
      <w:r>
        <w:t xml:space="preserve">The PFR rule does not require anyone to </w:t>
      </w:r>
      <w:r w:rsidR="00D76E45">
        <w:t xml:space="preserve">reserve </w:t>
      </w:r>
      <w:r>
        <w:t xml:space="preserve">generation capacity (headroom </w:t>
      </w:r>
      <w:r w:rsidR="00372B6C">
        <w:t xml:space="preserve">for raise </w:t>
      </w:r>
      <w:r>
        <w:t>or foot</w:t>
      </w:r>
      <w:r w:rsidR="00A91553">
        <w:t>-</w:t>
      </w:r>
      <w:r>
        <w:t>room</w:t>
      </w:r>
      <w:r w:rsidR="00372B6C">
        <w:t xml:space="preserve"> for lower</w:t>
      </w:r>
      <w:r>
        <w:t>)</w:t>
      </w:r>
      <w:r w:rsidR="004C19EA">
        <w:t xml:space="preserve"> to provide P</w:t>
      </w:r>
      <w:r w:rsidR="005D6CE6">
        <w:t>FR</w:t>
      </w:r>
      <w:r>
        <w:t xml:space="preserve">.  </w:t>
      </w:r>
    </w:p>
    <w:p w14:paraId="09AC0E4E" w14:textId="77777777" w:rsidR="00225F24" w:rsidRDefault="00225F24" w:rsidP="00225F24"/>
    <w:p w14:paraId="31786295" w14:textId="77777777" w:rsidR="00A639F7" w:rsidRPr="00A639F7" w:rsidRDefault="00A639F7" w:rsidP="00A639F7">
      <w:pPr>
        <w:rPr>
          <w:b/>
          <w:bCs/>
        </w:rPr>
      </w:pPr>
      <w:r w:rsidRPr="00A639F7">
        <w:rPr>
          <w:b/>
          <w:bCs/>
        </w:rPr>
        <w:t>What deadband settings do I need to apply?</w:t>
      </w:r>
    </w:p>
    <w:p w14:paraId="726ABE99" w14:textId="24AA49C1" w:rsidR="00A639F7" w:rsidRDefault="00EC5293" w:rsidP="00A639F7">
      <w:r>
        <w:t>P</w:t>
      </w:r>
      <w:r w:rsidR="00A639F7">
        <w:t xml:space="preserve">lant </w:t>
      </w:r>
      <w:r w:rsidR="00B56B1E">
        <w:t xml:space="preserve">will be required to </w:t>
      </w:r>
      <w:r w:rsidR="00A639F7">
        <w:t xml:space="preserve">respond to </w:t>
      </w:r>
      <w:r>
        <w:t>changes in</w:t>
      </w:r>
      <w:r w:rsidR="00A639F7">
        <w:t xml:space="preserve"> </w:t>
      </w:r>
      <w:r w:rsidR="0090170E">
        <w:t>power system</w:t>
      </w:r>
      <w:r w:rsidR="00A639F7">
        <w:t xml:space="preserve"> frequency measured at the plant</w:t>
      </w:r>
      <w:r w:rsidR="0090170E">
        <w:t>’s connection point</w:t>
      </w:r>
      <w:r w:rsidR="00A639F7">
        <w:t xml:space="preserve"> </w:t>
      </w:r>
      <w:r>
        <w:t>where the change</w:t>
      </w:r>
      <w:r w:rsidR="00A639F7">
        <w:t xml:space="preserve"> is outside a small band around 50 Hz, called a deadband.</w:t>
      </w:r>
    </w:p>
    <w:p w14:paraId="041EF6EF" w14:textId="1551DC56" w:rsidR="00354A62" w:rsidRDefault="00A639F7" w:rsidP="00A639F7">
      <w:r>
        <w:t xml:space="preserve">The </w:t>
      </w:r>
      <w:r w:rsidR="00EC5293">
        <w:t>PFR</w:t>
      </w:r>
      <w:r>
        <w:t xml:space="preserve"> rule states that </w:t>
      </w:r>
      <w:r w:rsidR="0090170E">
        <w:t>the</w:t>
      </w:r>
      <w:r>
        <w:t xml:space="preserve"> </w:t>
      </w:r>
      <w:r w:rsidR="0090170E">
        <w:t>narrowest</w:t>
      </w:r>
      <w:r>
        <w:t xml:space="preserve"> deadband </w:t>
      </w:r>
      <w:r w:rsidR="0090170E">
        <w:t xml:space="preserve">AEMO </w:t>
      </w:r>
      <w:r w:rsidR="00B56B1E">
        <w:t>can</w:t>
      </w:r>
      <w:r w:rsidR="0090170E">
        <w:t xml:space="preserve"> </w:t>
      </w:r>
      <w:r w:rsidR="001741DC">
        <w:t xml:space="preserve">specify </w:t>
      </w:r>
      <w:r w:rsidR="008C4E34">
        <w:t>is</w:t>
      </w:r>
      <w:r>
        <w:t xml:space="preserve"> </w:t>
      </w:r>
      <w:r w:rsidR="0090170E">
        <w:rPr>
          <w:rFonts w:cstheme="minorHAnsi"/>
        </w:rPr>
        <w:t>±</w:t>
      </w:r>
      <w:r>
        <w:t>0.015 Hz</w:t>
      </w:r>
      <w:r w:rsidR="001741DC">
        <w:t>, which is AEMO’s target deadband</w:t>
      </w:r>
      <w:r>
        <w:t xml:space="preserve">.  </w:t>
      </w:r>
    </w:p>
    <w:p w14:paraId="32F3F256" w14:textId="57CCED0F" w:rsidR="00A639F7" w:rsidRDefault="0073545E" w:rsidP="00A639F7">
      <w:r>
        <w:t>A</w:t>
      </w:r>
      <w:r w:rsidR="00117C05">
        <w:t xml:space="preserve">n Affected Generator can </w:t>
      </w:r>
      <w:r w:rsidR="00586061">
        <w:t xml:space="preserve">operate </w:t>
      </w:r>
      <w:r w:rsidR="00377B3B">
        <w:t>its</w:t>
      </w:r>
      <w:r w:rsidR="00A639F7">
        <w:t xml:space="preserve"> plant with a </w:t>
      </w:r>
      <w:r w:rsidR="008C4E34">
        <w:t xml:space="preserve">narrower </w:t>
      </w:r>
      <w:r w:rsidR="00A639F7">
        <w:t>deadband if it wishes to do so</w:t>
      </w:r>
      <w:r w:rsidR="00B234CD">
        <w:t>, as long as AEMO is informed of the settings</w:t>
      </w:r>
      <w:r w:rsidR="00A639F7">
        <w:t>.</w:t>
      </w:r>
    </w:p>
    <w:p w14:paraId="4AF48751" w14:textId="21F811DC" w:rsidR="008C4E34" w:rsidRDefault="008C4E34" w:rsidP="00A639F7"/>
    <w:p w14:paraId="44D1D9D2" w14:textId="005FCD0B" w:rsidR="008C4E34" w:rsidRPr="003A4E69" w:rsidRDefault="008C4E34" w:rsidP="00A639F7">
      <w:pPr>
        <w:rPr>
          <w:b/>
          <w:bCs/>
        </w:rPr>
      </w:pPr>
      <w:r w:rsidRPr="003A4E69">
        <w:rPr>
          <w:b/>
          <w:bCs/>
        </w:rPr>
        <w:t xml:space="preserve">Do I have </w:t>
      </w:r>
      <w:r w:rsidR="006A5BB0" w:rsidRPr="003A4E69">
        <w:rPr>
          <w:b/>
          <w:bCs/>
        </w:rPr>
        <w:t xml:space="preserve">to </w:t>
      </w:r>
      <w:r w:rsidRPr="003A4E69">
        <w:rPr>
          <w:b/>
          <w:bCs/>
        </w:rPr>
        <w:t xml:space="preserve">operate at this very narrow deadband </w:t>
      </w:r>
      <w:r w:rsidR="006A5BB0" w:rsidRPr="003A4E69">
        <w:rPr>
          <w:b/>
          <w:bCs/>
        </w:rPr>
        <w:t>immediately?</w:t>
      </w:r>
    </w:p>
    <w:p w14:paraId="40FEDA7F" w14:textId="39026A2A" w:rsidR="00A639F7" w:rsidRDefault="00B56B1E" w:rsidP="00A639F7">
      <w:r>
        <w:t>AEMO</w:t>
      </w:r>
      <w:r w:rsidR="008E0416">
        <w:t xml:space="preserve"> understand</w:t>
      </w:r>
      <w:r>
        <w:t>s</w:t>
      </w:r>
      <w:r w:rsidR="008E0416">
        <w:t xml:space="preserve"> that </w:t>
      </w:r>
      <w:r w:rsidR="00166B62">
        <w:t>some</w:t>
      </w:r>
      <w:r w:rsidR="008E0416">
        <w:t xml:space="preserve"> plant can </w:t>
      </w:r>
      <w:r w:rsidR="0055713D">
        <w:t xml:space="preserve">meet the narrow deadband immediately, while others </w:t>
      </w:r>
      <w:r w:rsidR="00166B62">
        <w:t>need to</w:t>
      </w:r>
      <w:r w:rsidR="0055713D">
        <w:t xml:space="preserve"> do </w:t>
      </w:r>
      <w:r w:rsidR="00166B62">
        <w:t>it</w:t>
      </w:r>
      <w:r w:rsidR="0055713D">
        <w:t xml:space="preserve"> in two </w:t>
      </w:r>
      <w:r w:rsidR="00166B62">
        <w:t>stages</w:t>
      </w:r>
      <w:r w:rsidR="0055713D">
        <w:t xml:space="preserve">.  </w:t>
      </w:r>
      <w:r>
        <w:t xml:space="preserve">The </w:t>
      </w:r>
      <w:r w:rsidR="00CA6ECF">
        <w:t xml:space="preserve">draft </w:t>
      </w:r>
      <w:hyperlink r:id="rId17" w:history="1">
        <w:r w:rsidR="00CC52DE">
          <w:rPr>
            <w:rStyle w:val="Hyperlink"/>
          </w:rPr>
          <w:t>IPFRR</w:t>
        </w:r>
      </w:hyperlink>
      <w:r>
        <w:t xml:space="preserve"> </w:t>
      </w:r>
      <w:r w:rsidR="00CC52DE">
        <w:t xml:space="preserve">give </w:t>
      </w:r>
      <w:r>
        <w:t>Affected Generators the option of narrowing their plant</w:t>
      </w:r>
      <w:r w:rsidR="00CC52DE">
        <w:t>’s</w:t>
      </w:r>
      <w:r>
        <w:t xml:space="preserve"> deadbands in one or two stages. </w:t>
      </w:r>
    </w:p>
    <w:p w14:paraId="062CB003" w14:textId="77777777" w:rsidR="00A639F7" w:rsidRDefault="00A639F7" w:rsidP="00A639F7"/>
    <w:p w14:paraId="7B692699" w14:textId="77777777" w:rsidR="00A639F7" w:rsidRPr="00A639F7" w:rsidRDefault="00A639F7" w:rsidP="00A639F7">
      <w:pPr>
        <w:rPr>
          <w:b/>
          <w:bCs/>
        </w:rPr>
      </w:pPr>
      <w:r w:rsidRPr="00A639F7">
        <w:rPr>
          <w:b/>
          <w:bCs/>
        </w:rPr>
        <w:t>What droop setting do I need to apply?</w:t>
      </w:r>
    </w:p>
    <w:p w14:paraId="0BFAAEAD" w14:textId="732A753C" w:rsidR="00A639F7" w:rsidRDefault="00A639F7" w:rsidP="00A639F7">
      <w:r>
        <w:lastRenderedPageBreak/>
        <w:t xml:space="preserve">The droop setting determines how much the MW output of the plant changes for a given change in </w:t>
      </w:r>
      <w:r w:rsidR="0055713D">
        <w:t xml:space="preserve">power </w:t>
      </w:r>
      <w:r>
        <w:t>system frequency.</w:t>
      </w:r>
    </w:p>
    <w:p w14:paraId="2B0BD653" w14:textId="5208EF4C" w:rsidR="00A639F7" w:rsidRDefault="00A639F7" w:rsidP="00A639F7">
      <w:r>
        <w:t>Droop should be no higher than 5%.</w:t>
      </w:r>
      <w:r w:rsidR="00AA09D2">
        <w:t xml:space="preserve">  </w:t>
      </w:r>
      <w:r>
        <w:t xml:space="preserve">A value below this </w:t>
      </w:r>
      <w:r w:rsidR="00674597">
        <w:t>is acceptable</w:t>
      </w:r>
      <w:r>
        <w:t>.</w:t>
      </w:r>
    </w:p>
    <w:p w14:paraId="0029FFD4" w14:textId="77777777" w:rsidR="00A639F7" w:rsidRDefault="00A639F7" w:rsidP="00A639F7">
      <w:r>
        <w:t>Different droop settings may be specified for different levels of frequency change, or for frequency above or below 50 Hz</w:t>
      </w:r>
      <w:r w:rsidR="00AA09D2">
        <w:t>, subject to approval by AEMO.</w:t>
      </w:r>
    </w:p>
    <w:p w14:paraId="66481B0A" w14:textId="07A4748B" w:rsidR="00A639F7" w:rsidRDefault="00A639F7" w:rsidP="00A639F7">
      <w:r>
        <w:t xml:space="preserve">Any droop </w:t>
      </w:r>
      <w:r w:rsidR="009016B1">
        <w:t xml:space="preserve">setting </w:t>
      </w:r>
      <w:r>
        <w:t>should be continuous and not result in step changes in output as frequency changes above or below any particular level.</w:t>
      </w:r>
    </w:p>
    <w:p w14:paraId="06EE77AA" w14:textId="67BBD1FF" w:rsidR="00F63245" w:rsidRDefault="004357D0" w:rsidP="00A639F7">
      <w:r>
        <w:t xml:space="preserve">The droop setting should be based on </w:t>
      </w:r>
      <w:r w:rsidR="007B45CD">
        <w:t>the</w:t>
      </w:r>
      <w:r>
        <w:t xml:space="preserve"> </w:t>
      </w:r>
      <w:r w:rsidR="00B04431">
        <w:t xml:space="preserve">fixed MW capacity of the plant, rather than the </w:t>
      </w:r>
      <w:r w:rsidR="007B45CD">
        <w:t xml:space="preserve">variable, </w:t>
      </w:r>
      <w:r w:rsidR="00B04431">
        <w:t>instantaneous MW output.</w:t>
      </w:r>
      <w:r w:rsidR="007B45CD">
        <w:t xml:space="preserve"> </w:t>
      </w:r>
    </w:p>
    <w:p w14:paraId="4B17A348" w14:textId="01F90F3F" w:rsidR="004357D0" w:rsidRDefault="007B45CD" w:rsidP="00A639F7">
      <w:r>
        <w:t>Where there is a partial</w:t>
      </w:r>
      <w:r w:rsidR="00F63245">
        <w:t xml:space="preserve">, temporary </w:t>
      </w:r>
      <w:r>
        <w:t xml:space="preserve">outage of part of the </w:t>
      </w:r>
      <w:r w:rsidR="00F63245">
        <w:t>Affected GS</w:t>
      </w:r>
      <w:r>
        <w:t>, resulting in a</w:t>
      </w:r>
      <w:r w:rsidR="00F63245">
        <w:t xml:space="preserve"> </w:t>
      </w:r>
      <w:r>
        <w:t>short</w:t>
      </w:r>
      <w:r w:rsidR="00490B03">
        <w:t>-</w:t>
      </w:r>
      <w:r>
        <w:t xml:space="preserve">term reduction in </w:t>
      </w:r>
      <w:r w:rsidR="00F63245">
        <w:t xml:space="preserve">MW </w:t>
      </w:r>
      <w:r>
        <w:t xml:space="preserve">capacity, </w:t>
      </w:r>
      <w:r w:rsidR="007148E6">
        <w:t xml:space="preserve">Affected </w:t>
      </w:r>
      <w:r w:rsidR="00490B03">
        <w:t>Generators are</w:t>
      </w:r>
      <w:r>
        <w:t xml:space="preserve"> not required to increase </w:t>
      </w:r>
      <w:r w:rsidR="007148E6">
        <w:t xml:space="preserve">the </w:t>
      </w:r>
      <w:r>
        <w:t xml:space="preserve">response from the remaining capacity of the </w:t>
      </w:r>
      <w:r w:rsidR="008E6883">
        <w:t>Affected GS</w:t>
      </w:r>
      <w:r>
        <w:t xml:space="preserve"> to compensate for this short</w:t>
      </w:r>
      <w:r w:rsidR="008E6883">
        <w:t>-</w:t>
      </w:r>
      <w:r>
        <w:t>term reduction.</w:t>
      </w:r>
    </w:p>
    <w:p w14:paraId="566D99EE" w14:textId="6A14BE8A" w:rsidR="00E85C3B" w:rsidRDefault="00E85C3B" w:rsidP="00A639F7">
      <w:r>
        <w:t xml:space="preserve">Where part of an Affected GS is exempted from a requirement to provide PFR, the </w:t>
      </w:r>
      <w:r w:rsidR="00F975C0">
        <w:t xml:space="preserve">MW capacity of that </w:t>
      </w:r>
      <w:r w:rsidR="00B473A4">
        <w:t>part of the Affected GS</w:t>
      </w:r>
      <w:r w:rsidR="00F975C0">
        <w:t xml:space="preserve"> d</w:t>
      </w:r>
      <w:r w:rsidR="008E6883">
        <w:t>o</w:t>
      </w:r>
      <w:r w:rsidR="00F975C0">
        <w:t xml:space="preserve">es not need to be considered when </w:t>
      </w:r>
      <w:r w:rsidR="00985FA2">
        <w:t xml:space="preserve">assessing </w:t>
      </w:r>
      <w:r w:rsidR="00F975C0">
        <w:t xml:space="preserve">droop. </w:t>
      </w:r>
      <w:r w:rsidR="007148E6">
        <w:t xml:space="preserve"> </w:t>
      </w:r>
      <w:r w:rsidR="00F975C0">
        <w:t xml:space="preserve">For example, </w:t>
      </w:r>
      <w:r w:rsidR="007148E6">
        <w:t xml:space="preserve">the </w:t>
      </w:r>
      <w:r w:rsidR="00F975C0">
        <w:t xml:space="preserve">capacity of the </w:t>
      </w:r>
      <w:r w:rsidR="008E6883">
        <w:t xml:space="preserve">steam turbine </w:t>
      </w:r>
      <w:r w:rsidR="00F975C0">
        <w:t xml:space="preserve">component of </w:t>
      </w:r>
      <w:r w:rsidR="008E6883">
        <w:t>a</w:t>
      </w:r>
      <w:r w:rsidR="00F975C0">
        <w:t xml:space="preserve"> </w:t>
      </w:r>
      <w:r w:rsidR="008E6883">
        <w:t>combined cycle generating system</w:t>
      </w:r>
      <w:r w:rsidR="00F975C0">
        <w:t xml:space="preserve"> does not need to be </w:t>
      </w:r>
      <w:r w:rsidR="00370749">
        <w:t>taken into account</w:t>
      </w:r>
      <w:r w:rsidR="00985FA2">
        <w:t xml:space="preserve"> when determining droop settings.</w:t>
      </w:r>
    </w:p>
    <w:p w14:paraId="77424338" w14:textId="77777777" w:rsidR="00A639F7" w:rsidRDefault="00A639F7" w:rsidP="00A639F7"/>
    <w:p w14:paraId="29A944A8" w14:textId="77777777" w:rsidR="00225F24" w:rsidRDefault="00225F24" w:rsidP="00225F24">
      <w:pPr>
        <w:rPr>
          <w:b/>
          <w:bCs/>
        </w:rPr>
      </w:pPr>
      <w:r w:rsidRPr="5030A529">
        <w:rPr>
          <w:b/>
          <w:bCs/>
        </w:rPr>
        <w:t xml:space="preserve">Does </w:t>
      </w:r>
      <w:r>
        <w:rPr>
          <w:b/>
          <w:bCs/>
        </w:rPr>
        <w:t>each generating unit</w:t>
      </w:r>
      <w:r w:rsidRPr="5030A529">
        <w:rPr>
          <w:b/>
          <w:bCs/>
        </w:rPr>
        <w:t xml:space="preserve"> have to be controlled within its droop capability?</w:t>
      </w:r>
    </w:p>
    <w:p w14:paraId="5DBBAFEE" w14:textId="4637B2C7" w:rsidR="00225F24" w:rsidRDefault="00225F24" w:rsidP="00225F24">
      <w:r>
        <w:t>Some generating units under certain operating modes or those with inherent variability due to primary energy or fuel availability may, at times, change load in excess of their droop settings and limitations of response.  In light of these limitations, AEMO does not expect every generating unit</w:t>
      </w:r>
      <w:r w:rsidR="00D6440B">
        <w:t xml:space="preserve"> at all times</w:t>
      </w:r>
      <w:r>
        <w:t xml:space="preserve"> to be controlled to within its droop setting and response.</w:t>
      </w:r>
    </w:p>
    <w:p w14:paraId="04592192" w14:textId="77777777" w:rsidR="00225F24" w:rsidRDefault="00225F24" w:rsidP="00225F24"/>
    <w:p w14:paraId="4419BBD9" w14:textId="43064B5A" w:rsidR="00A639F7" w:rsidRPr="00A639F7" w:rsidRDefault="00A639F7" w:rsidP="00A639F7">
      <w:pPr>
        <w:rPr>
          <w:b/>
          <w:bCs/>
        </w:rPr>
      </w:pPr>
      <w:r w:rsidRPr="35F6F518">
        <w:rPr>
          <w:b/>
          <w:bCs/>
        </w:rPr>
        <w:t>How fast should my plant respon</w:t>
      </w:r>
      <w:r w:rsidR="11879700" w:rsidRPr="35F6F518">
        <w:rPr>
          <w:b/>
          <w:bCs/>
        </w:rPr>
        <w:t>d</w:t>
      </w:r>
      <w:r w:rsidRPr="35F6F518">
        <w:rPr>
          <w:b/>
          <w:bCs/>
        </w:rPr>
        <w:t xml:space="preserve"> to frequency?</w:t>
      </w:r>
    </w:p>
    <w:p w14:paraId="2A483B17" w14:textId="1C693B18" w:rsidR="00A639F7" w:rsidRDefault="00A639F7" w:rsidP="00A639F7">
      <w:r>
        <w:t xml:space="preserve">The </w:t>
      </w:r>
      <w:hyperlink r:id="rId18" w:history="1">
        <w:r w:rsidR="00370749">
          <w:rPr>
            <w:rStyle w:val="Hyperlink"/>
          </w:rPr>
          <w:t>IPFRR</w:t>
        </w:r>
      </w:hyperlink>
      <w:r w:rsidR="00665EC5">
        <w:t xml:space="preserve"> </w:t>
      </w:r>
      <w:r>
        <w:t>specif</w:t>
      </w:r>
      <w:r w:rsidR="00C920D3">
        <w:t>y</w:t>
      </w:r>
      <w:r>
        <w:t xml:space="preserve"> a response speed of a 5% change in output within 10 seconds. </w:t>
      </w:r>
      <w:r w:rsidR="00665EC5">
        <w:t xml:space="preserve"> </w:t>
      </w:r>
      <w:r>
        <w:t xml:space="preserve">The frequency change required to drive this change is described in </w:t>
      </w:r>
      <w:r w:rsidR="00665EC5">
        <w:t>that document</w:t>
      </w:r>
      <w:r>
        <w:t>.</w:t>
      </w:r>
    </w:p>
    <w:p w14:paraId="300FB13B" w14:textId="71CBC421" w:rsidR="00A639F7" w:rsidRDefault="00665EC5" w:rsidP="00A639F7">
      <w:r>
        <w:t>AEMO</w:t>
      </w:r>
      <w:r w:rsidR="00A639F7">
        <w:t xml:space="preserve"> underst</w:t>
      </w:r>
      <w:r>
        <w:t>ands that</w:t>
      </w:r>
      <w:r w:rsidR="00A639F7">
        <w:t xml:space="preserve"> there is a wide range of response capability across generation </w:t>
      </w:r>
      <w:r w:rsidR="002B68F4">
        <w:t>types</w:t>
      </w:r>
      <w:r w:rsidR="00A639F7">
        <w:t>.</w:t>
      </w:r>
    </w:p>
    <w:p w14:paraId="7C4B489B" w14:textId="3AF94883" w:rsidR="00A639F7" w:rsidRDefault="00A639F7" w:rsidP="00A639F7">
      <w:r>
        <w:t xml:space="preserve">Where plant is capable of </w:t>
      </w:r>
      <w:r w:rsidR="00E46EA3">
        <w:t xml:space="preserve">a </w:t>
      </w:r>
      <w:r>
        <w:t xml:space="preserve">response speed above </w:t>
      </w:r>
      <w:r w:rsidR="00D31909">
        <w:t xml:space="preserve">the required </w:t>
      </w:r>
      <w:r>
        <w:t xml:space="preserve">level, it should not be deliberately slowed to </w:t>
      </w:r>
      <w:r w:rsidR="005E2542">
        <w:t xml:space="preserve">the required </w:t>
      </w:r>
      <w:r>
        <w:t>level.</w:t>
      </w:r>
    </w:p>
    <w:p w14:paraId="232CFA28" w14:textId="77777777" w:rsidR="00FD5181" w:rsidRDefault="00FD5181" w:rsidP="00A639F7"/>
    <w:p w14:paraId="6F2D5C70" w14:textId="77777777" w:rsidR="00AA09D2" w:rsidRPr="00A639F7" w:rsidRDefault="00AA09D2" w:rsidP="00AA09D2">
      <w:pPr>
        <w:rPr>
          <w:b/>
          <w:bCs/>
        </w:rPr>
      </w:pPr>
      <w:r w:rsidRPr="00A639F7">
        <w:rPr>
          <w:b/>
          <w:bCs/>
        </w:rPr>
        <w:t xml:space="preserve">How </w:t>
      </w:r>
      <w:r>
        <w:rPr>
          <w:b/>
          <w:bCs/>
        </w:rPr>
        <w:t xml:space="preserve">long </w:t>
      </w:r>
      <w:r w:rsidRPr="00A639F7">
        <w:rPr>
          <w:b/>
          <w:bCs/>
        </w:rPr>
        <w:t>should m</w:t>
      </w:r>
      <w:r>
        <w:rPr>
          <w:b/>
          <w:bCs/>
        </w:rPr>
        <w:t>y</w:t>
      </w:r>
      <w:r w:rsidRPr="00A639F7">
        <w:rPr>
          <w:b/>
          <w:bCs/>
        </w:rPr>
        <w:t xml:space="preserve"> plant </w:t>
      </w:r>
      <w:r>
        <w:rPr>
          <w:b/>
          <w:bCs/>
        </w:rPr>
        <w:t xml:space="preserve">sustain its response </w:t>
      </w:r>
      <w:r w:rsidRPr="00A639F7">
        <w:rPr>
          <w:b/>
          <w:bCs/>
        </w:rPr>
        <w:t>to frequency?</w:t>
      </w:r>
    </w:p>
    <w:p w14:paraId="3A4037E3" w14:textId="0E876018" w:rsidR="00A639F7" w:rsidRDefault="00AA09D2" w:rsidP="00A639F7">
      <w:r>
        <w:t xml:space="preserve">The response should be sustained </w:t>
      </w:r>
      <w:r w:rsidR="00D05BDC">
        <w:t xml:space="preserve">as long as it is </w:t>
      </w:r>
      <w:r>
        <w:t xml:space="preserve">within the reasonable physical capabilities </w:t>
      </w:r>
      <w:r w:rsidR="57FCBFA3">
        <w:t xml:space="preserve">and </w:t>
      </w:r>
      <w:r w:rsidR="57FCBFA3" w:rsidRPr="5030A529">
        <w:rPr>
          <w:rFonts w:ascii="Calibri" w:eastAsia="Calibri" w:hAnsi="Calibri" w:cs="Calibri"/>
          <w:color w:val="333333"/>
        </w:rPr>
        <w:t>mode of operation</w:t>
      </w:r>
      <w:r>
        <w:t xml:space="preserve"> of the plant.  As with all other requirements, this is subject to the safety and stability of the </w:t>
      </w:r>
      <w:r w:rsidR="00C0787C">
        <w:t>Affected GS</w:t>
      </w:r>
      <w:r>
        <w:t>.</w:t>
      </w:r>
    </w:p>
    <w:p w14:paraId="29E32200" w14:textId="1247E166" w:rsidR="00AA09D2" w:rsidRDefault="00AA09D2" w:rsidP="00A639F7"/>
    <w:p w14:paraId="1E69D364" w14:textId="0235772D" w:rsidR="00A639F7" w:rsidRPr="00A639F7" w:rsidRDefault="00A639F7" w:rsidP="00A639F7">
      <w:pPr>
        <w:rPr>
          <w:b/>
          <w:bCs/>
        </w:rPr>
      </w:pPr>
      <w:r w:rsidRPr="00A639F7">
        <w:rPr>
          <w:b/>
          <w:bCs/>
        </w:rPr>
        <w:t xml:space="preserve">Do I need to install monitoring </w:t>
      </w:r>
      <w:r w:rsidR="00354A62" w:rsidRPr="00A639F7">
        <w:rPr>
          <w:b/>
          <w:bCs/>
        </w:rPr>
        <w:t>equipment</w:t>
      </w:r>
      <w:r w:rsidRPr="00A639F7">
        <w:rPr>
          <w:b/>
          <w:bCs/>
        </w:rPr>
        <w:t>? How will compliance with this rule be assessed?</w:t>
      </w:r>
    </w:p>
    <w:p w14:paraId="35512FD0" w14:textId="5630034D" w:rsidR="005B575B" w:rsidRDefault="00A639F7" w:rsidP="00A639F7">
      <w:r>
        <w:lastRenderedPageBreak/>
        <w:t xml:space="preserve">The </w:t>
      </w:r>
      <w:r w:rsidR="00EE3CAA">
        <w:t>PFR</w:t>
      </w:r>
      <w:r>
        <w:t xml:space="preserve"> rule </w:t>
      </w:r>
      <w:r w:rsidR="001A14AE">
        <w:t xml:space="preserve">does </w:t>
      </w:r>
      <w:r w:rsidR="001A14AE" w:rsidRPr="00031751">
        <w:rPr>
          <w:b/>
          <w:bCs/>
        </w:rPr>
        <w:t>not</w:t>
      </w:r>
      <w:r w:rsidR="001A14AE">
        <w:t xml:space="preserve"> require</w:t>
      </w:r>
      <w:r>
        <w:t xml:space="preserve"> new monitoring equipment</w:t>
      </w:r>
      <w:r w:rsidR="00D67143">
        <w:t xml:space="preserve">, however, </w:t>
      </w:r>
      <w:r w:rsidR="001A14AE">
        <w:t xml:space="preserve">Affected </w:t>
      </w:r>
      <w:r w:rsidR="00AA09D2">
        <w:t>Generators may install equipment to monitor their own performance</w:t>
      </w:r>
      <w:r w:rsidR="005B575B">
        <w:t xml:space="preserve"> and compliance with the </w:t>
      </w:r>
      <w:hyperlink r:id="rId19" w:history="1">
        <w:r w:rsidR="00C0787C">
          <w:rPr>
            <w:rStyle w:val="Hyperlink"/>
          </w:rPr>
          <w:t>IPFRR</w:t>
        </w:r>
      </w:hyperlink>
      <w:r w:rsidR="00AA09D2">
        <w:t>.</w:t>
      </w:r>
      <w:r w:rsidR="00022FB2">
        <w:t xml:space="preserve"> </w:t>
      </w:r>
      <w:r w:rsidR="001A14AE">
        <w:t xml:space="preserve"> </w:t>
      </w:r>
    </w:p>
    <w:p w14:paraId="5CDF560E" w14:textId="345818B4" w:rsidR="00A639F7" w:rsidRDefault="001D3C49" w:rsidP="00A639F7">
      <w:r>
        <w:t>Note that</w:t>
      </w:r>
      <w:r w:rsidR="00D67143">
        <w:t xml:space="preserve"> </w:t>
      </w:r>
      <w:r w:rsidR="005B575B">
        <w:t>the</w:t>
      </w:r>
      <w:r w:rsidR="00022FB2">
        <w:t xml:space="preserve"> metering requirements </w:t>
      </w:r>
      <w:r w:rsidR="005B575B">
        <w:t xml:space="preserve">that </w:t>
      </w:r>
      <w:r w:rsidR="00022FB2">
        <w:t xml:space="preserve">apply to </w:t>
      </w:r>
      <w:r w:rsidR="005B575B">
        <w:t>G</w:t>
      </w:r>
      <w:r w:rsidR="00022FB2">
        <w:t>enerators wishing to enter the FCAS markets</w:t>
      </w:r>
      <w:r>
        <w:t xml:space="preserve"> remain unchanged and are still</w:t>
      </w:r>
      <w:r w:rsidR="00022FB2">
        <w:t xml:space="preserve"> set out in the </w:t>
      </w:r>
      <w:hyperlink r:id="rId20" w:history="1">
        <w:r w:rsidR="001E130A">
          <w:rPr>
            <w:rStyle w:val="Hyperlink"/>
          </w:rPr>
          <w:t>Market Ancillary Services Specification</w:t>
        </w:r>
      </w:hyperlink>
      <w:r w:rsidR="001E130A">
        <w:t xml:space="preserve"> (MASS)</w:t>
      </w:r>
      <w:r w:rsidR="00022FB2">
        <w:t>.</w:t>
      </w:r>
    </w:p>
    <w:p w14:paraId="440215F3" w14:textId="46E4E011" w:rsidR="00A207A6" w:rsidRDefault="00A207A6" w:rsidP="00A639F7">
      <w:r>
        <w:t xml:space="preserve">AEMO will require </w:t>
      </w:r>
      <w:r w:rsidR="00F40A8D">
        <w:t xml:space="preserve">sufficient documentation and test results </w:t>
      </w:r>
      <w:r w:rsidR="00E575F4">
        <w:t xml:space="preserve">that </w:t>
      </w:r>
      <w:r w:rsidR="00F40A8D">
        <w:t xml:space="preserve">demonstrate </w:t>
      </w:r>
      <w:r w:rsidR="00E575F4">
        <w:t xml:space="preserve">whether </w:t>
      </w:r>
      <w:r w:rsidR="00F40A8D">
        <w:t xml:space="preserve">the </w:t>
      </w:r>
      <w:r w:rsidR="001661E1">
        <w:t xml:space="preserve">required </w:t>
      </w:r>
      <w:r w:rsidR="005B575B">
        <w:t xml:space="preserve">PFR </w:t>
      </w:r>
      <w:r w:rsidR="00F40A8D">
        <w:t xml:space="preserve">settings have been </w:t>
      </w:r>
      <w:r w:rsidR="00A60313">
        <w:t>applied and are active</w:t>
      </w:r>
      <w:r w:rsidR="005A7832">
        <w:t>.</w:t>
      </w:r>
      <w:r w:rsidR="000A7E9E">
        <w:t xml:space="preserve">  </w:t>
      </w:r>
      <w:r w:rsidR="00E575F4">
        <w:t>This could</w:t>
      </w:r>
      <w:r w:rsidR="000A7E9E">
        <w:t xml:space="preserve"> be in the form of </w:t>
      </w:r>
      <w:r w:rsidR="00340ABE">
        <w:t>written confirmation, along with test results from actual frequency response, or from a</w:t>
      </w:r>
      <w:r w:rsidR="00A2701A">
        <w:t>n injected frequency step.</w:t>
      </w:r>
    </w:p>
    <w:p w14:paraId="7EF52FCC" w14:textId="69D607DF" w:rsidR="00A639F7" w:rsidRDefault="00A639F7" w:rsidP="00A639F7">
      <w:r>
        <w:t xml:space="preserve">AEMO will use existing monitoring equipment, such as SCADA, </w:t>
      </w:r>
      <w:r w:rsidR="0004540A">
        <w:t xml:space="preserve">high speed monitoring (HSM) </w:t>
      </w:r>
      <w:r>
        <w:t>devices</w:t>
      </w:r>
      <w:r w:rsidR="0004540A">
        <w:t>,</w:t>
      </w:r>
      <w:r>
        <w:t xml:space="preserve"> or similar</w:t>
      </w:r>
      <w:r w:rsidR="0004540A">
        <w:t>,</w:t>
      </w:r>
      <w:r>
        <w:t xml:space="preserve"> to assess compliance with the </w:t>
      </w:r>
      <w:hyperlink r:id="rId21" w:history="1">
        <w:r w:rsidR="00C0787C">
          <w:rPr>
            <w:rStyle w:val="Hyperlink"/>
          </w:rPr>
          <w:t>IPFRR</w:t>
        </w:r>
      </w:hyperlink>
      <w:r w:rsidR="0003236F">
        <w:t xml:space="preserve"> and</w:t>
      </w:r>
      <w:r w:rsidR="005A7832">
        <w:t xml:space="preserve"> may</w:t>
      </w:r>
      <w:r w:rsidR="0003236F">
        <w:t>,</w:t>
      </w:r>
      <w:r w:rsidR="005A7832">
        <w:t xml:space="preserve"> at any time</w:t>
      </w:r>
      <w:r w:rsidR="0003236F">
        <w:t>,</w:t>
      </w:r>
      <w:r w:rsidR="005A7832">
        <w:t xml:space="preserve"> request </w:t>
      </w:r>
      <w:r w:rsidR="00476CC3">
        <w:t>information from a</w:t>
      </w:r>
      <w:r w:rsidR="0004540A">
        <w:t>n Affected</w:t>
      </w:r>
      <w:r w:rsidR="00476CC3">
        <w:t xml:space="preserve"> </w:t>
      </w:r>
      <w:r w:rsidR="0004540A">
        <w:t>G</w:t>
      </w:r>
      <w:r w:rsidR="00476CC3">
        <w:t xml:space="preserve">enerator </w:t>
      </w:r>
      <w:r w:rsidR="0003236F">
        <w:t>about</w:t>
      </w:r>
      <w:r w:rsidR="00476CC3">
        <w:t xml:space="preserve"> compliance.</w:t>
      </w:r>
    </w:p>
    <w:p w14:paraId="1F37A7B6" w14:textId="77777777" w:rsidR="00A639F7" w:rsidRDefault="00A639F7" w:rsidP="00A639F7"/>
    <w:p w14:paraId="3529BBAC" w14:textId="2E778D39" w:rsidR="00A639F7" w:rsidRPr="00A639F7" w:rsidRDefault="00A639F7" w:rsidP="00A639F7">
      <w:pPr>
        <w:rPr>
          <w:b/>
          <w:bCs/>
        </w:rPr>
      </w:pPr>
      <w:r w:rsidRPr="00A639F7">
        <w:rPr>
          <w:b/>
          <w:bCs/>
        </w:rPr>
        <w:t>Can I be exempted from these requirements</w:t>
      </w:r>
      <w:r w:rsidR="00497E13">
        <w:rPr>
          <w:b/>
          <w:bCs/>
        </w:rPr>
        <w:t>?</w:t>
      </w:r>
    </w:p>
    <w:p w14:paraId="442A668B" w14:textId="393E3A53" w:rsidR="00A639F7" w:rsidRDefault="0003236F" w:rsidP="00A639F7">
      <w:r>
        <w:t>Exemptions</w:t>
      </w:r>
      <w:r w:rsidR="00A639F7">
        <w:t xml:space="preserve"> from the </w:t>
      </w:r>
      <w:bookmarkStart w:id="1" w:name="_Hlk44084896"/>
      <w:r w:rsidR="008D45A5">
        <w:fldChar w:fldCharType="begin"/>
      </w:r>
      <w:r w:rsidR="009646CE">
        <w:instrText>HYPERLINK "https://aemo.com.au/consultations/current-and-closed-consultations/primary-frequency-response-requirements-document-consultation"</w:instrText>
      </w:r>
      <w:r w:rsidR="008D45A5">
        <w:fldChar w:fldCharType="separate"/>
      </w:r>
      <w:r w:rsidR="009646CE">
        <w:rPr>
          <w:rStyle w:val="Hyperlink"/>
        </w:rPr>
        <w:t>IPFRR</w:t>
      </w:r>
      <w:r w:rsidR="008D45A5">
        <w:rPr>
          <w:rStyle w:val="Hyperlink"/>
        </w:rPr>
        <w:fldChar w:fldCharType="end"/>
      </w:r>
      <w:r w:rsidR="0004540A">
        <w:t xml:space="preserve"> </w:t>
      </w:r>
      <w:bookmarkEnd w:id="1"/>
      <w:r>
        <w:t xml:space="preserve">may be granted </w:t>
      </w:r>
      <w:r w:rsidR="00A639F7">
        <w:t xml:space="preserve">at </w:t>
      </w:r>
      <w:r>
        <w:t xml:space="preserve">AEMO’s </w:t>
      </w:r>
      <w:r w:rsidR="00A639F7">
        <w:t>discretion.</w:t>
      </w:r>
      <w:r w:rsidR="006F29EC">
        <w:t xml:space="preserve">  </w:t>
      </w:r>
      <w:r w:rsidR="0004540A">
        <w:t xml:space="preserve">Affected </w:t>
      </w:r>
      <w:r w:rsidR="00A639F7">
        <w:t>Generat</w:t>
      </w:r>
      <w:r w:rsidR="0004540A">
        <w:t xml:space="preserve">ors </w:t>
      </w:r>
      <w:r w:rsidR="00A639F7">
        <w:t xml:space="preserve">will only be exempted </w:t>
      </w:r>
      <w:r w:rsidR="0004540A">
        <w:t xml:space="preserve">if </w:t>
      </w:r>
      <w:r w:rsidR="00A639F7">
        <w:t xml:space="preserve">it is </w:t>
      </w:r>
      <w:r w:rsidR="009D1F38">
        <w:t xml:space="preserve">clearly </w:t>
      </w:r>
      <w:r w:rsidR="00A639F7">
        <w:t xml:space="preserve">demonstrated </w:t>
      </w:r>
      <w:r w:rsidR="0025300C">
        <w:t xml:space="preserve">to AEMO’s satisfaction </w:t>
      </w:r>
      <w:r w:rsidR="00A639F7">
        <w:t xml:space="preserve">that </w:t>
      </w:r>
      <w:r w:rsidR="0025300C">
        <w:t xml:space="preserve">one or more of the exemption criteria </w:t>
      </w:r>
      <w:r w:rsidR="00D31BBD">
        <w:t>are met</w:t>
      </w:r>
      <w:r w:rsidR="0025300C">
        <w:t xml:space="preserve">, and a </w:t>
      </w:r>
      <w:r w:rsidR="006905A4">
        <w:t>v</w:t>
      </w:r>
      <w:r w:rsidR="0025300C">
        <w:t xml:space="preserve">ariation </w:t>
      </w:r>
      <w:r w:rsidR="000F2120">
        <w:t>is not reasonably achievable</w:t>
      </w:r>
      <w:r w:rsidR="00A639F7">
        <w:t>.</w:t>
      </w:r>
    </w:p>
    <w:p w14:paraId="2323D5AD" w14:textId="6E11D5A5" w:rsidR="00816CBE" w:rsidRDefault="00846482" w:rsidP="00920AC9">
      <w:r>
        <w:t>A</w:t>
      </w:r>
      <w:r w:rsidR="00F8000B">
        <w:t>n Affected</w:t>
      </w:r>
      <w:r>
        <w:t xml:space="preserve"> </w:t>
      </w:r>
      <w:r w:rsidR="00F8000B">
        <w:t xml:space="preserve">Generator </w:t>
      </w:r>
      <w:r w:rsidR="00816CBE">
        <w:t xml:space="preserve">seeking an exemption should clearly indicate </w:t>
      </w:r>
      <w:r w:rsidR="00F8000B">
        <w:t>the grounds on</w:t>
      </w:r>
      <w:r w:rsidR="00816CBE">
        <w:t xml:space="preserve"> which the exemption is </w:t>
      </w:r>
      <w:r w:rsidR="00ED5E3E">
        <w:t xml:space="preserve">being </w:t>
      </w:r>
      <w:r w:rsidR="00816CBE">
        <w:t>sought.</w:t>
      </w:r>
      <w:r w:rsidR="009646CE">
        <w:t xml:space="preserve">  </w:t>
      </w:r>
    </w:p>
    <w:p w14:paraId="26F9C064" w14:textId="43F69AA8" w:rsidR="00662972" w:rsidRDefault="00A639F7" w:rsidP="00A639F7">
      <w:r>
        <w:t xml:space="preserve">Variations </w:t>
      </w:r>
      <w:r w:rsidR="006905A4">
        <w:t xml:space="preserve">from </w:t>
      </w:r>
      <w:r>
        <w:t>the</w:t>
      </w:r>
      <w:r w:rsidR="006905A4">
        <w:t xml:space="preserve"> </w:t>
      </w:r>
      <w:hyperlink r:id="rId22" w:history="1">
        <w:r w:rsidR="009646CE">
          <w:rPr>
            <w:rStyle w:val="Hyperlink"/>
          </w:rPr>
          <w:t>IPFRR</w:t>
        </w:r>
      </w:hyperlink>
      <w:r w:rsidR="006905A4">
        <w:t xml:space="preserve"> </w:t>
      </w:r>
      <w:r>
        <w:t xml:space="preserve">may </w:t>
      </w:r>
      <w:r w:rsidR="006905A4">
        <w:t xml:space="preserve">also </w:t>
      </w:r>
      <w:r>
        <w:t>be granted at</w:t>
      </w:r>
      <w:r w:rsidR="00C71935">
        <w:t xml:space="preserve"> AEMO’s</w:t>
      </w:r>
      <w:r>
        <w:t xml:space="preserve"> discretion, particularly where </w:t>
      </w:r>
      <w:r w:rsidR="00C71935">
        <w:t xml:space="preserve">an Affected Generator can provide </w:t>
      </w:r>
      <w:r>
        <w:t xml:space="preserve">a material level of </w:t>
      </w:r>
      <w:r w:rsidR="006905A4">
        <w:t>PFR</w:t>
      </w:r>
      <w:r w:rsidR="00C71935">
        <w:t xml:space="preserve"> but can only demonstrate partial compliance</w:t>
      </w:r>
      <w:r>
        <w:t xml:space="preserve">, and full compliance would impose </w:t>
      </w:r>
      <w:r w:rsidR="00083E65">
        <w:t>excessive cost</w:t>
      </w:r>
      <w:r w:rsidR="00C71935">
        <w:t>s</w:t>
      </w:r>
      <w:r w:rsidR="00A166B0">
        <w:t xml:space="preserve"> and delay</w:t>
      </w:r>
      <w:r w:rsidR="00C71935">
        <w:t xml:space="preserve"> implementation</w:t>
      </w:r>
      <w:r w:rsidR="00A166B0">
        <w:t>.</w:t>
      </w:r>
      <w:r w:rsidR="00A03EA7">
        <w:t xml:space="preserve">  </w:t>
      </w:r>
    </w:p>
    <w:p w14:paraId="610FF471" w14:textId="1CD15D6C" w:rsidR="00A639F7" w:rsidRDefault="00A03EA7" w:rsidP="00A639F7">
      <w:r>
        <w:t xml:space="preserve">AEMO anticipates that </w:t>
      </w:r>
      <w:r w:rsidR="00A639F7">
        <w:t xml:space="preserve">variations </w:t>
      </w:r>
      <w:r w:rsidR="00C71935">
        <w:t>are</w:t>
      </w:r>
      <w:r w:rsidR="00A639F7">
        <w:t xml:space="preserve"> </w:t>
      </w:r>
      <w:r w:rsidR="00287AFB">
        <w:t xml:space="preserve">likely </w:t>
      </w:r>
      <w:r w:rsidR="00C71935">
        <w:t>to be sought</w:t>
      </w:r>
      <w:r w:rsidR="00287AFB">
        <w:t xml:space="preserve"> </w:t>
      </w:r>
      <w:r w:rsidR="00C71935">
        <w:t>on the</w:t>
      </w:r>
      <w:r w:rsidR="00A639F7">
        <w:t xml:space="preserve"> speed of response, or the ability of plant to sustain a change in output for a sustained change in </w:t>
      </w:r>
      <w:r>
        <w:t xml:space="preserve">power </w:t>
      </w:r>
      <w:r w:rsidR="00A639F7">
        <w:t>system frequency.</w:t>
      </w:r>
    </w:p>
    <w:p w14:paraId="6A8ECAA9" w14:textId="77777777" w:rsidR="00354A62" w:rsidRDefault="00354A62" w:rsidP="00A639F7"/>
    <w:p w14:paraId="0301A232" w14:textId="18153F98" w:rsidR="00354A62" w:rsidRPr="00A639F7" w:rsidRDefault="00354A62" w:rsidP="00354A62">
      <w:pPr>
        <w:rPr>
          <w:b/>
          <w:bCs/>
        </w:rPr>
      </w:pPr>
      <w:r w:rsidRPr="00A639F7">
        <w:rPr>
          <w:b/>
          <w:bCs/>
        </w:rPr>
        <w:t>I am a battery operator - what does this mean for me</w:t>
      </w:r>
      <w:r w:rsidR="000E0569">
        <w:rPr>
          <w:b/>
          <w:bCs/>
        </w:rPr>
        <w:t>?</w:t>
      </w:r>
    </w:p>
    <w:p w14:paraId="5E27F552" w14:textId="47FBED27" w:rsidR="00354A62" w:rsidRDefault="00354A62" w:rsidP="00354A62">
      <w:bookmarkStart w:id="2" w:name="_Hlk37249063"/>
      <w:r>
        <w:t>Th</w:t>
      </w:r>
      <w:r w:rsidR="00A03EA7">
        <w:t>e</w:t>
      </w:r>
      <w:r w:rsidR="00C71935">
        <w:t xml:space="preserve"> PFR</w:t>
      </w:r>
      <w:r>
        <w:t xml:space="preserve"> rule will require you to make the output of you</w:t>
      </w:r>
      <w:r w:rsidR="00287AFB">
        <w:t>r</w:t>
      </w:r>
      <w:r>
        <w:t xml:space="preserve"> battery </w:t>
      </w:r>
      <w:r w:rsidR="00287AFB">
        <w:t xml:space="preserve">system </w:t>
      </w:r>
      <w:r>
        <w:t xml:space="preserve">sensitive to </w:t>
      </w:r>
      <w:r w:rsidR="00A03EA7">
        <w:t xml:space="preserve">power </w:t>
      </w:r>
      <w:r>
        <w:t>system frequency whenever it receives a dispatch target &gt; 0 MW.</w:t>
      </w:r>
      <w:r w:rsidR="00753D82">
        <w:t xml:space="preserve">  </w:t>
      </w:r>
      <w:bookmarkEnd w:id="2"/>
      <w:r w:rsidR="00753D82">
        <w:t xml:space="preserve">It </w:t>
      </w:r>
      <w:r>
        <w:t xml:space="preserve">does not require </w:t>
      </w:r>
      <w:r w:rsidR="00B97DAA">
        <w:t>it</w:t>
      </w:r>
      <w:r>
        <w:t xml:space="preserve"> to maintain any particular state of charge to allow for </w:t>
      </w:r>
      <w:r w:rsidR="00753D82">
        <w:t>PFR</w:t>
      </w:r>
      <w:r>
        <w:t>.</w:t>
      </w:r>
    </w:p>
    <w:p w14:paraId="6B259334" w14:textId="573B81C4" w:rsidR="00354A62" w:rsidRDefault="00354A62" w:rsidP="00354A62"/>
    <w:p w14:paraId="1B8D2535" w14:textId="718939C8" w:rsidR="00354A62" w:rsidRPr="00A639F7" w:rsidRDefault="00354A62" w:rsidP="00354A62">
      <w:pPr>
        <w:rPr>
          <w:b/>
          <w:bCs/>
        </w:rPr>
      </w:pPr>
      <w:r w:rsidRPr="00A639F7">
        <w:rPr>
          <w:b/>
          <w:bCs/>
        </w:rPr>
        <w:t>I am a wind</w:t>
      </w:r>
      <w:r w:rsidR="00753D82">
        <w:rPr>
          <w:b/>
          <w:bCs/>
        </w:rPr>
        <w:t xml:space="preserve"> </w:t>
      </w:r>
      <w:r w:rsidRPr="00A639F7">
        <w:rPr>
          <w:b/>
          <w:bCs/>
        </w:rPr>
        <w:t>farm operator - what does this mean for me</w:t>
      </w:r>
      <w:r w:rsidR="000E66C8">
        <w:rPr>
          <w:b/>
          <w:bCs/>
        </w:rPr>
        <w:t>?</w:t>
      </w:r>
    </w:p>
    <w:p w14:paraId="63A7151C" w14:textId="62D948C5" w:rsidR="00C71935" w:rsidRDefault="00354A62">
      <w:r>
        <w:t>Th</w:t>
      </w:r>
      <w:r w:rsidR="00753D82">
        <w:t>e</w:t>
      </w:r>
      <w:r w:rsidR="00C71935">
        <w:t xml:space="preserve"> PFR</w:t>
      </w:r>
      <w:r>
        <w:t xml:space="preserve"> rule will require the output of </w:t>
      </w:r>
      <w:r w:rsidR="00F82125">
        <w:t xml:space="preserve">affected </w:t>
      </w:r>
      <w:r>
        <w:t>wind farm</w:t>
      </w:r>
      <w:r w:rsidR="00F82125">
        <w:t xml:space="preserve">s to be </w:t>
      </w:r>
      <w:r>
        <w:t xml:space="preserve">sensitive to </w:t>
      </w:r>
      <w:r w:rsidR="00753D82">
        <w:t xml:space="preserve">power </w:t>
      </w:r>
      <w:r>
        <w:t>system frequency, to the degree this can be reasonably achieved.</w:t>
      </w:r>
      <w:r w:rsidR="00C03823">
        <w:t xml:space="preserve">  </w:t>
      </w:r>
      <w:r w:rsidR="00C71935">
        <w:t>It</w:t>
      </w:r>
      <w:r w:rsidR="00C03823">
        <w:t xml:space="preserve"> does </w:t>
      </w:r>
      <w:r w:rsidR="00C03823" w:rsidRPr="00C71935">
        <w:rPr>
          <w:b/>
        </w:rPr>
        <w:t>not</w:t>
      </w:r>
      <w:r w:rsidR="00C03823">
        <w:t xml:space="preserve"> require any of the following:</w:t>
      </w:r>
      <w:r w:rsidR="00236995">
        <w:t xml:space="preserve"> </w:t>
      </w:r>
    </w:p>
    <w:p w14:paraId="1F1B43E1" w14:textId="74644087" w:rsidR="00C03823" w:rsidRDefault="00C71935">
      <w:pPr>
        <w:pStyle w:val="ListParagraph"/>
        <w:numPr>
          <w:ilvl w:val="0"/>
          <w:numId w:val="1"/>
        </w:numPr>
      </w:pPr>
      <w:r>
        <w:t>H</w:t>
      </w:r>
      <w:r w:rsidR="00354A62">
        <w:t xml:space="preserve">eadroom to be maintained. </w:t>
      </w:r>
      <w:r w:rsidR="00C03823">
        <w:t xml:space="preserve"> </w:t>
      </w:r>
    </w:p>
    <w:p w14:paraId="76485464" w14:textId="322BB69B" w:rsidR="00354A62" w:rsidRDefault="008659C1" w:rsidP="00C03823">
      <w:pPr>
        <w:pStyle w:val="ListParagraph"/>
        <w:numPr>
          <w:ilvl w:val="0"/>
          <w:numId w:val="1"/>
        </w:numPr>
      </w:pPr>
      <w:r>
        <w:t>C</w:t>
      </w:r>
      <w:r w:rsidR="00354A62">
        <w:t>urtail</w:t>
      </w:r>
      <w:r>
        <w:t>ment</w:t>
      </w:r>
      <w:r w:rsidR="00354A62">
        <w:t xml:space="preserve"> (or "spill") </w:t>
      </w:r>
      <w:r>
        <w:t xml:space="preserve">of </w:t>
      </w:r>
      <w:r w:rsidR="00354A62">
        <w:t xml:space="preserve">output to allow for increased output in response to low </w:t>
      </w:r>
      <w:r w:rsidR="00C03823">
        <w:t xml:space="preserve">power system </w:t>
      </w:r>
      <w:r w:rsidR="00354A62">
        <w:t>frequency.</w:t>
      </w:r>
    </w:p>
    <w:p w14:paraId="4FDA7D15" w14:textId="69C6D95D" w:rsidR="00354A62" w:rsidRDefault="00C03823" w:rsidP="00731B79">
      <w:pPr>
        <w:pStyle w:val="ListParagraph"/>
        <w:numPr>
          <w:ilvl w:val="0"/>
          <w:numId w:val="1"/>
        </w:numPr>
      </w:pPr>
      <w:r>
        <w:t>A</w:t>
      </w:r>
      <w:r w:rsidR="00354A62">
        <w:t>ny form of "synthetic inertia", or similar controls.</w:t>
      </w:r>
    </w:p>
    <w:p w14:paraId="0BFD791B" w14:textId="3805C412" w:rsidR="00354A62" w:rsidRDefault="000F7D75" w:rsidP="00731B79">
      <w:pPr>
        <w:pStyle w:val="ListParagraph"/>
        <w:numPr>
          <w:ilvl w:val="0"/>
          <w:numId w:val="1"/>
        </w:numPr>
      </w:pPr>
      <w:r>
        <w:t>S</w:t>
      </w:r>
      <w:r w:rsidR="00354A62">
        <w:t>torage to be installed.</w:t>
      </w:r>
    </w:p>
    <w:p w14:paraId="161BB88F" w14:textId="14EECA5C" w:rsidR="00354A62" w:rsidRDefault="00354A62" w:rsidP="00354A62">
      <w:r>
        <w:t>If output is curtailed due to network constraints, the wind farm may increase output above th</w:t>
      </w:r>
      <w:r w:rsidR="00C80319">
        <w:t>e</w:t>
      </w:r>
      <w:r>
        <w:t xml:space="preserve"> curtailed level in response to low frequency conditions, based on </w:t>
      </w:r>
      <w:r w:rsidR="001365FF">
        <w:t>the specified</w:t>
      </w:r>
      <w:r>
        <w:t xml:space="preserve"> deadband and droop.</w:t>
      </w:r>
    </w:p>
    <w:p w14:paraId="315CB140" w14:textId="77777777" w:rsidR="00327CD0" w:rsidRDefault="00327CD0" w:rsidP="00354A62">
      <w:pPr>
        <w:rPr>
          <w:b/>
          <w:bCs/>
        </w:rPr>
      </w:pPr>
    </w:p>
    <w:p w14:paraId="51EBD154" w14:textId="339334C8" w:rsidR="00354A62" w:rsidRPr="00A639F7" w:rsidRDefault="00354A62" w:rsidP="00354A62">
      <w:pPr>
        <w:rPr>
          <w:b/>
          <w:bCs/>
        </w:rPr>
      </w:pPr>
      <w:r>
        <w:rPr>
          <w:b/>
          <w:bCs/>
        </w:rPr>
        <w:t>I</w:t>
      </w:r>
      <w:r w:rsidRPr="00A639F7">
        <w:rPr>
          <w:b/>
          <w:bCs/>
        </w:rPr>
        <w:t xml:space="preserve"> am a solar farm operator - what does this mean for me</w:t>
      </w:r>
      <w:r w:rsidR="000E66C8">
        <w:rPr>
          <w:b/>
          <w:bCs/>
        </w:rPr>
        <w:t>?</w:t>
      </w:r>
    </w:p>
    <w:p w14:paraId="5ECA5E41" w14:textId="63AEC111" w:rsidR="00354A62" w:rsidRDefault="00354A62" w:rsidP="00354A62">
      <w:r>
        <w:t>Th</w:t>
      </w:r>
      <w:r w:rsidR="00C80319">
        <w:t>e PFR</w:t>
      </w:r>
      <w:r>
        <w:t xml:space="preserve"> rule will require the output of solar farm</w:t>
      </w:r>
      <w:r w:rsidR="00742676">
        <w:t>s to be</w:t>
      </w:r>
      <w:r>
        <w:t xml:space="preserve"> sensitive to </w:t>
      </w:r>
      <w:r w:rsidR="000F5BA2">
        <w:t xml:space="preserve">changes in power </w:t>
      </w:r>
      <w:r>
        <w:t>system frequency, to the degree this can be reasonably achieved.</w:t>
      </w:r>
      <w:r w:rsidR="000F5BA2">
        <w:t xml:space="preserve">  </w:t>
      </w:r>
      <w:r w:rsidR="00236995">
        <w:t xml:space="preserve">The rule does </w:t>
      </w:r>
      <w:r w:rsidR="00236995" w:rsidRPr="00C03823">
        <w:rPr>
          <w:b/>
          <w:bCs/>
        </w:rPr>
        <w:t>not</w:t>
      </w:r>
      <w:r w:rsidR="00236995">
        <w:t xml:space="preserve"> require any of the following:</w:t>
      </w:r>
    </w:p>
    <w:p w14:paraId="12F46FB7" w14:textId="76F36021" w:rsidR="009D433E" w:rsidRDefault="00352877" w:rsidP="00236995">
      <w:pPr>
        <w:pStyle w:val="ListParagraph"/>
        <w:numPr>
          <w:ilvl w:val="0"/>
          <w:numId w:val="2"/>
        </w:numPr>
      </w:pPr>
      <w:r>
        <w:t>H</w:t>
      </w:r>
      <w:r w:rsidR="00354A62">
        <w:t>eadroom to be maintained</w:t>
      </w:r>
      <w:r w:rsidR="00236995">
        <w:t>.</w:t>
      </w:r>
    </w:p>
    <w:p w14:paraId="148EBC2E" w14:textId="19DF9336" w:rsidR="00354A62" w:rsidRDefault="00352877" w:rsidP="00E24A75">
      <w:pPr>
        <w:pStyle w:val="ListParagraph"/>
        <w:numPr>
          <w:ilvl w:val="0"/>
          <w:numId w:val="2"/>
        </w:numPr>
      </w:pPr>
      <w:r>
        <w:t>C</w:t>
      </w:r>
      <w:r w:rsidR="00354A62">
        <w:t>urtail</w:t>
      </w:r>
      <w:r>
        <w:t>ment</w:t>
      </w:r>
      <w:r w:rsidR="00354A62">
        <w:t xml:space="preserve"> (or "spill") </w:t>
      </w:r>
      <w:r>
        <w:t xml:space="preserve">of </w:t>
      </w:r>
      <w:r w:rsidR="00354A62">
        <w:t>output to allow for increased output</w:t>
      </w:r>
      <w:r w:rsidR="00F82125" w:rsidRPr="00F82125">
        <w:t xml:space="preserve"> </w:t>
      </w:r>
      <w:r w:rsidR="00F82125">
        <w:t>in response to low power system frequency</w:t>
      </w:r>
      <w:r w:rsidR="00354A62">
        <w:t>.</w:t>
      </w:r>
    </w:p>
    <w:p w14:paraId="42D5FF03" w14:textId="4A46EDFA" w:rsidR="00354A62" w:rsidRDefault="009D433E" w:rsidP="00E24A75">
      <w:pPr>
        <w:pStyle w:val="ListParagraph"/>
        <w:numPr>
          <w:ilvl w:val="0"/>
          <w:numId w:val="2"/>
        </w:numPr>
      </w:pPr>
      <w:r>
        <w:t>S</w:t>
      </w:r>
      <w:r w:rsidR="00354A62">
        <w:t>torage to be installed.</w:t>
      </w:r>
    </w:p>
    <w:p w14:paraId="26A4E8D0" w14:textId="2C5518E6" w:rsidR="00354A62" w:rsidRDefault="00354A62" w:rsidP="00354A62">
      <w:r>
        <w:t xml:space="preserve">If solar farm output is curtailed due to network constraints, the solar farm may increase output above this curtailed level in response to low frequency conditions, based on </w:t>
      </w:r>
      <w:r w:rsidR="00742676">
        <w:t>the specified</w:t>
      </w:r>
      <w:r>
        <w:t xml:space="preserve"> deadband and droop.</w:t>
      </w:r>
    </w:p>
    <w:p w14:paraId="1F843B6C" w14:textId="77777777" w:rsidR="00354A62" w:rsidRDefault="00354A62" w:rsidP="00A639F7"/>
    <w:p w14:paraId="3788F11E" w14:textId="77777777" w:rsidR="00673BC5" w:rsidRPr="00A639F7" w:rsidRDefault="00673BC5" w:rsidP="00673BC5">
      <w:pPr>
        <w:rPr>
          <w:b/>
          <w:bCs/>
        </w:rPr>
      </w:pPr>
      <w:r w:rsidRPr="00A639F7">
        <w:rPr>
          <w:b/>
          <w:bCs/>
        </w:rPr>
        <w:t>Can I recover the costs of these changes</w:t>
      </w:r>
      <w:r>
        <w:rPr>
          <w:b/>
          <w:bCs/>
        </w:rPr>
        <w:t>?</w:t>
      </w:r>
    </w:p>
    <w:p w14:paraId="07CA2BE5" w14:textId="5411C039" w:rsidR="00673BC5" w:rsidRDefault="00673BC5" w:rsidP="00673BC5">
      <w:r>
        <w:t>You will not be able to recover the costs involved in making control settings changes</w:t>
      </w:r>
      <w:r w:rsidR="00EC5986">
        <w:t xml:space="preserve"> to meet the PFR rule</w:t>
      </w:r>
      <w:r>
        <w:t>.</w:t>
      </w:r>
      <w:r w:rsidR="00EC5986">
        <w:t xml:space="preserve">  </w:t>
      </w:r>
      <w:r>
        <w:t xml:space="preserve">If you think the changes you need to make will </w:t>
      </w:r>
      <w:r w:rsidR="00B26A75">
        <w:t>result in</w:t>
      </w:r>
      <w:r>
        <w:t xml:space="preserve"> excessive costs, </w:t>
      </w:r>
      <w:r w:rsidR="00EC5986">
        <w:t xml:space="preserve">the </w:t>
      </w:r>
      <w:hyperlink r:id="rId23" w:history="1">
        <w:r w:rsidR="00EC5986">
          <w:rPr>
            <w:rStyle w:val="Hyperlink"/>
          </w:rPr>
          <w:t>IPFRR</w:t>
        </w:r>
      </w:hyperlink>
      <w:r w:rsidR="00EC5986">
        <w:t xml:space="preserve"> </w:t>
      </w:r>
      <w:r>
        <w:t xml:space="preserve">explains how you might apply for either an exemption or variation.  </w:t>
      </w:r>
    </w:p>
    <w:p w14:paraId="6B253F17" w14:textId="77777777" w:rsidR="00673BC5" w:rsidRDefault="00673BC5" w:rsidP="00354A62">
      <w:pPr>
        <w:rPr>
          <w:b/>
          <w:bCs/>
        </w:rPr>
      </w:pPr>
    </w:p>
    <w:p w14:paraId="79ABB980" w14:textId="77777777" w:rsidR="00225F24" w:rsidRPr="00A639F7" w:rsidRDefault="00225F24" w:rsidP="00225F24">
      <w:pPr>
        <w:rPr>
          <w:b/>
          <w:bCs/>
        </w:rPr>
      </w:pPr>
      <w:r w:rsidRPr="00A639F7">
        <w:rPr>
          <w:b/>
          <w:bCs/>
        </w:rPr>
        <w:t>What does this mean for my causer pays factor?</w:t>
      </w:r>
    </w:p>
    <w:p w14:paraId="4BF86D38" w14:textId="77777777" w:rsidR="00225F24" w:rsidRDefault="00225F24" w:rsidP="00225F24">
      <w:r>
        <w:t>Existing processes for determining causer pays factors will continue to operate unchanged.</w:t>
      </w:r>
    </w:p>
    <w:p w14:paraId="7CB06BA5" w14:textId="77777777" w:rsidR="00225F24" w:rsidRDefault="00225F24" w:rsidP="00354A62">
      <w:pPr>
        <w:rPr>
          <w:b/>
          <w:bCs/>
        </w:rPr>
      </w:pPr>
    </w:p>
    <w:p w14:paraId="2EE85921" w14:textId="79B7010E" w:rsidR="00354A62" w:rsidRDefault="00354A62" w:rsidP="00354A62">
      <w:pPr>
        <w:rPr>
          <w:b/>
          <w:bCs/>
        </w:rPr>
      </w:pPr>
      <w:r w:rsidRPr="00A639F7">
        <w:rPr>
          <w:b/>
          <w:bCs/>
        </w:rPr>
        <w:t>Will this affect my GPS?</w:t>
      </w:r>
    </w:p>
    <w:p w14:paraId="08B9D218" w14:textId="2332AD9D" w:rsidR="00B170A4" w:rsidRDefault="00B170A4" w:rsidP="00354A62">
      <w:r>
        <w:t xml:space="preserve">It’s possible, especially if </w:t>
      </w:r>
      <w:r w:rsidR="00C343B4">
        <w:t xml:space="preserve">S5.2.5.11 of </w:t>
      </w:r>
      <w:r>
        <w:t xml:space="preserve">your GPS does not require a frequency response </w:t>
      </w:r>
      <w:r w:rsidR="007E56A0">
        <w:t xml:space="preserve">capability </w:t>
      </w:r>
      <w:r>
        <w:t>within the normal operating frequency band.</w:t>
      </w:r>
      <w:r w:rsidR="007E56A0">
        <w:t xml:space="preserve">  We expect to discuss these on a case-by-case basis and make changes </w:t>
      </w:r>
      <w:r w:rsidR="00547675">
        <w:t xml:space="preserve">following </w:t>
      </w:r>
      <w:r w:rsidR="00782FFE">
        <w:t xml:space="preserve">consultation </w:t>
      </w:r>
      <w:r w:rsidR="00547675">
        <w:t xml:space="preserve">with </w:t>
      </w:r>
      <w:r w:rsidR="00782FFE">
        <w:t xml:space="preserve">each </w:t>
      </w:r>
      <w:r w:rsidR="00547675">
        <w:t>Affected Generator</w:t>
      </w:r>
      <w:r w:rsidR="00B97A6E">
        <w:t xml:space="preserve"> and connecting NSP.</w:t>
      </w:r>
    </w:p>
    <w:p w14:paraId="4DC8E273" w14:textId="77777777" w:rsidR="00286E57" w:rsidRDefault="00286E57" w:rsidP="00354A62">
      <w:pPr>
        <w:rPr>
          <w:b/>
          <w:bCs/>
        </w:rPr>
      </w:pPr>
    </w:p>
    <w:p w14:paraId="6865BD02" w14:textId="35D402AA" w:rsidR="00DA609C" w:rsidRPr="00A639F7" w:rsidRDefault="00DA609C" w:rsidP="00354A62">
      <w:r w:rsidRPr="00DA609C">
        <w:rPr>
          <w:b/>
          <w:bCs/>
        </w:rPr>
        <w:t xml:space="preserve">Will changes to my generating plant </w:t>
      </w:r>
      <w:r w:rsidR="00A20415">
        <w:rPr>
          <w:b/>
          <w:bCs/>
        </w:rPr>
        <w:t xml:space="preserve">to meet </w:t>
      </w:r>
      <w:r w:rsidR="00A20415" w:rsidRPr="00A20415">
        <w:rPr>
          <w:b/>
          <w:bCs/>
        </w:rPr>
        <w:t xml:space="preserve">the </w:t>
      </w:r>
      <w:hyperlink r:id="rId24" w:history="1">
        <w:r w:rsidR="00034B69">
          <w:rPr>
            <w:rStyle w:val="Hyperlink"/>
            <w:b/>
            <w:bCs/>
          </w:rPr>
          <w:t>IPFRR</w:t>
        </w:r>
      </w:hyperlink>
      <w:r w:rsidR="00A20415" w:rsidRPr="00DA609C">
        <w:rPr>
          <w:b/>
          <w:bCs/>
        </w:rPr>
        <w:t xml:space="preserve"> </w:t>
      </w:r>
      <w:r w:rsidRPr="00DA609C">
        <w:rPr>
          <w:b/>
          <w:bCs/>
        </w:rPr>
        <w:t xml:space="preserve">trigger a clause </w:t>
      </w:r>
      <w:r w:rsidR="00354A62" w:rsidRPr="00DA609C">
        <w:rPr>
          <w:b/>
          <w:bCs/>
        </w:rPr>
        <w:t xml:space="preserve">5.3.9 </w:t>
      </w:r>
      <w:r w:rsidRPr="00DA609C">
        <w:rPr>
          <w:b/>
          <w:bCs/>
        </w:rPr>
        <w:t>process?</w:t>
      </w:r>
      <w:r>
        <w:t xml:space="preserve"> </w:t>
      </w:r>
    </w:p>
    <w:p w14:paraId="4EA08577" w14:textId="21770847" w:rsidR="00A639F7" w:rsidRDefault="00A20415" w:rsidP="00A639F7">
      <w:r>
        <w:t>No.</w:t>
      </w:r>
      <w:r w:rsidR="00906DB6">
        <w:t xml:space="preserve"> </w:t>
      </w:r>
      <w:r w:rsidR="00034B69">
        <w:t xml:space="preserve"> </w:t>
      </w:r>
      <w:r w:rsidR="0009648C">
        <w:t xml:space="preserve">The PFR rule includes a new </w:t>
      </w:r>
      <w:r w:rsidR="00A40542">
        <w:t xml:space="preserve">clause </w:t>
      </w:r>
      <w:r w:rsidR="0009648C">
        <w:t>5.3.9(a1)</w:t>
      </w:r>
      <w:r w:rsidR="00A40542">
        <w:t xml:space="preserve"> </w:t>
      </w:r>
      <w:r w:rsidR="00987280">
        <w:t xml:space="preserve">to confirm </w:t>
      </w:r>
      <w:r w:rsidR="005235C3">
        <w:t>this clause will not apply</w:t>
      </w:r>
      <w:r w:rsidR="00025586">
        <w:t xml:space="preserve">. </w:t>
      </w:r>
      <w:r w:rsidR="00034B69">
        <w:t xml:space="preserve"> </w:t>
      </w:r>
      <w:r w:rsidR="0080115D">
        <w:t>Changes are to be implemented through the process</w:t>
      </w:r>
      <w:r w:rsidR="00034B69">
        <w:t xml:space="preserve"> detailed</w:t>
      </w:r>
      <w:r w:rsidR="0080115D">
        <w:t xml:space="preserve"> in the </w:t>
      </w:r>
      <w:hyperlink r:id="rId25" w:history="1">
        <w:r w:rsidR="00034B69" w:rsidRPr="00096480">
          <w:rPr>
            <w:rStyle w:val="Hyperlink"/>
          </w:rPr>
          <w:t>IPFRR</w:t>
        </w:r>
      </w:hyperlink>
      <w:r w:rsidR="00034B69">
        <w:rPr>
          <w:rStyle w:val="Hyperlink"/>
        </w:rPr>
        <w:t>,</w:t>
      </w:r>
      <w:r w:rsidR="00034B69" w:rsidRPr="00DA609C">
        <w:rPr>
          <w:b/>
          <w:bCs/>
        </w:rPr>
        <w:t xml:space="preserve"> </w:t>
      </w:r>
      <w:r w:rsidR="0080115D">
        <w:t xml:space="preserve">instead. </w:t>
      </w:r>
    </w:p>
    <w:p w14:paraId="177B3250" w14:textId="283D317E" w:rsidR="00A639F7" w:rsidRDefault="00A639F7" w:rsidP="00A639F7">
      <w:pPr>
        <w:rPr>
          <w:b/>
          <w:bCs/>
        </w:rPr>
      </w:pPr>
      <w:r w:rsidRPr="00A639F7">
        <w:rPr>
          <w:b/>
          <w:bCs/>
        </w:rPr>
        <w:t>What if I believe my plant can't meet these requirements?</w:t>
      </w:r>
    </w:p>
    <w:p w14:paraId="64A6A03C" w14:textId="146FEE5E" w:rsidR="00A60313" w:rsidRPr="00E2711D" w:rsidRDefault="00A60313" w:rsidP="00A639F7">
      <w:pPr>
        <w:rPr>
          <w:bCs/>
        </w:rPr>
      </w:pPr>
      <w:r w:rsidRPr="00E2711D">
        <w:rPr>
          <w:bCs/>
        </w:rPr>
        <w:t xml:space="preserve">AEMO encourages </w:t>
      </w:r>
      <w:r w:rsidR="007D1631">
        <w:rPr>
          <w:bCs/>
        </w:rPr>
        <w:t>Affected Generators</w:t>
      </w:r>
      <w:r w:rsidR="007D1631" w:rsidRPr="00E2711D">
        <w:rPr>
          <w:bCs/>
        </w:rPr>
        <w:t xml:space="preserve"> </w:t>
      </w:r>
      <w:r w:rsidRPr="00E2711D">
        <w:rPr>
          <w:bCs/>
        </w:rPr>
        <w:t>to engage early with AEMO</w:t>
      </w:r>
      <w:r w:rsidR="00E2711D" w:rsidRPr="00E2711D">
        <w:rPr>
          <w:bCs/>
        </w:rPr>
        <w:t xml:space="preserve">, rather than </w:t>
      </w:r>
      <w:r w:rsidR="007D1631">
        <w:rPr>
          <w:bCs/>
        </w:rPr>
        <w:t>wait</w:t>
      </w:r>
      <w:r w:rsidR="00E2711D" w:rsidRPr="00E2711D">
        <w:rPr>
          <w:bCs/>
        </w:rPr>
        <w:t xml:space="preserve"> </w:t>
      </w:r>
      <w:r w:rsidR="00427934">
        <w:rPr>
          <w:bCs/>
        </w:rPr>
        <w:t xml:space="preserve">until the </w:t>
      </w:r>
      <w:r w:rsidR="00AC6CD4">
        <w:rPr>
          <w:bCs/>
        </w:rPr>
        <w:t xml:space="preserve">end of </w:t>
      </w:r>
      <w:r w:rsidR="00E2711D" w:rsidRPr="00E2711D">
        <w:rPr>
          <w:bCs/>
        </w:rPr>
        <w:t xml:space="preserve">the self-assessment period. </w:t>
      </w:r>
      <w:r w:rsidR="007D1631">
        <w:rPr>
          <w:bCs/>
        </w:rPr>
        <w:t xml:space="preserve"> </w:t>
      </w:r>
      <w:r w:rsidR="00E2711D">
        <w:rPr>
          <w:bCs/>
        </w:rPr>
        <w:t>This will allow the best chance of</w:t>
      </w:r>
      <w:r w:rsidR="00024765">
        <w:rPr>
          <w:bCs/>
        </w:rPr>
        <w:t xml:space="preserve"> reaching</w:t>
      </w:r>
      <w:r w:rsidR="00E2711D">
        <w:rPr>
          <w:bCs/>
        </w:rPr>
        <w:t xml:space="preserve"> a solution </w:t>
      </w:r>
      <w:r w:rsidR="00024765">
        <w:rPr>
          <w:bCs/>
        </w:rPr>
        <w:t xml:space="preserve">or </w:t>
      </w:r>
      <w:r w:rsidR="00427934">
        <w:rPr>
          <w:bCs/>
        </w:rPr>
        <w:t xml:space="preserve">making </w:t>
      </w:r>
      <w:r w:rsidR="002D1E13">
        <w:rPr>
          <w:bCs/>
        </w:rPr>
        <w:t xml:space="preserve">an acceptable variation </w:t>
      </w:r>
      <w:r w:rsidR="00427934">
        <w:rPr>
          <w:bCs/>
        </w:rPr>
        <w:t>or exemption application</w:t>
      </w:r>
      <w:r w:rsidR="00034B69">
        <w:rPr>
          <w:bCs/>
        </w:rPr>
        <w:t>,</w:t>
      </w:r>
      <w:r w:rsidR="00AC6CD4">
        <w:rPr>
          <w:bCs/>
        </w:rPr>
        <w:t xml:space="preserve"> if appropriate</w:t>
      </w:r>
      <w:r w:rsidR="00BD726E">
        <w:rPr>
          <w:bCs/>
        </w:rPr>
        <w:t>.</w:t>
      </w:r>
    </w:p>
    <w:p w14:paraId="63BDA73A" w14:textId="77777777" w:rsidR="00B97A6E" w:rsidRDefault="00B97A6E" w:rsidP="00A639F7">
      <w:pPr>
        <w:rPr>
          <w:b/>
          <w:bCs/>
        </w:rPr>
      </w:pPr>
    </w:p>
    <w:p w14:paraId="1731B2F6" w14:textId="43DBD66B" w:rsidR="00A639F7" w:rsidRDefault="00A639F7" w:rsidP="00A639F7">
      <w:pPr>
        <w:rPr>
          <w:b/>
          <w:bCs/>
        </w:rPr>
      </w:pPr>
      <w:r w:rsidRPr="00354A62">
        <w:rPr>
          <w:b/>
          <w:bCs/>
        </w:rPr>
        <w:t xml:space="preserve">I am </w:t>
      </w:r>
      <w:r w:rsidR="00354A62" w:rsidRPr="00354A62">
        <w:rPr>
          <w:b/>
          <w:bCs/>
        </w:rPr>
        <w:t>current</w:t>
      </w:r>
      <w:r w:rsidR="00354A62">
        <w:rPr>
          <w:b/>
          <w:bCs/>
        </w:rPr>
        <w:t>ly</w:t>
      </w:r>
      <w:r w:rsidRPr="00354A62">
        <w:rPr>
          <w:b/>
          <w:bCs/>
        </w:rPr>
        <w:t xml:space="preserve"> com</w:t>
      </w:r>
      <w:r w:rsidR="00354A62">
        <w:rPr>
          <w:b/>
          <w:bCs/>
        </w:rPr>
        <w:t>m</w:t>
      </w:r>
      <w:r w:rsidRPr="00354A62">
        <w:rPr>
          <w:b/>
          <w:bCs/>
        </w:rPr>
        <w:t xml:space="preserve">issioning </w:t>
      </w:r>
      <w:r w:rsidR="00CA1032">
        <w:rPr>
          <w:b/>
          <w:bCs/>
        </w:rPr>
        <w:t>generating</w:t>
      </w:r>
      <w:r w:rsidR="00CA1032" w:rsidRPr="00354A62">
        <w:rPr>
          <w:b/>
          <w:bCs/>
        </w:rPr>
        <w:t xml:space="preserve"> </w:t>
      </w:r>
      <w:r w:rsidRPr="00354A62">
        <w:rPr>
          <w:b/>
          <w:bCs/>
        </w:rPr>
        <w:t>plant</w:t>
      </w:r>
      <w:r w:rsidR="00354A62">
        <w:rPr>
          <w:b/>
          <w:bCs/>
        </w:rPr>
        <w:t xml:space="preserve"> -</w:t>
      </w:r>
      <w:r w:rsidRPr="00354A62">
        <w:rPr>
          <w:b/>
          <w:bCs/>
        </w:rPr>
        <w:t xml:space="preserve"> </w:t>
      </w:r>
      <w:r w:rsidR="00354A62">
        <w:rPr>
          <w:b/>
          <w:bCs/>
        </w:rPr>
        <w:t>w</w:t>
      </w:r>
      <w:r w:rsidRPr="00354A62">
        <w:rPr>
          <w:b/>
          <w:bCs/>
        </w:rPr>
        <w:t>hat does this mean for me?</w:t>
      </w:r>
    </w:p>
    <w:p w14:paraId="1FC6A514" w14:textId="0DF7D0C5" w:rsidR="00CA1032" w:rsidRDefault="0074535A" w:rsidP="00A639F7">
      <w:r>
        <w:lastRenderedPageBreak/>
        <w:t xml:space="preserve">If you are registered as a Scheduled or Semi-Scheduled Generator, the PFR rule applies to you. </w:t>
      </w:r>
      <w:r w:rsidR="00B91674">
        <w:t xml:space="preserve"> </w:t>
      </w:r>
      <w:r>
        <w:t>You should read t</w:t>
      </w:r>
      <w:r w:rsidR="00A95C83">
        <w:t xml:space="preserve">he </w:t>
      </w:r>
      <w:hyperlink r:id="rId26" w:history="1">
        <w:r w:rsidR="00B91674">
          <w:rPr>
            <w:rStyle w:val="Hyperlink"/>
          </w:rPr>
          <w:t>IPFRR</w:t>
        </w:r>
      </w:hyperlink>
      <w:r>
        <w:t xml:space="preserve"> to understand how you </w:t>
      </w:r>
      <w:r w:rsidR="00405976">
        <w:t>are</w:t>
      </w:r>
      <w:r>
        <w:t xml:space="preserve"> affected and then discuss with your connecting Network Service Provider and AEMO how you propose to implement the required PFR settings to your plant.</w:t>
      </w:r>
    </w:p>
    <w:p w14:paraId="78293A5A" w14:textId="4E16E129" w:rsidR="00BA6239" w:rsidRDefault="006A7F91" w:rsidP="00A639F7">
      <w:r>
        <w:t>You should includ</w:t>
      </w:r>
      <w:r w:rsidR="00B91674">
        <w:t>e</w:t>
      </w:r>
      <w:r>
        <w:t xml:space="preserve"> tests in your commissioning program to confirm stable operation of you</w:t>
      </w:r>
      <w:r w:rsidR="004F3DF7">
        <w:t>r</w:t>
      </w:r>
      <w:r>
        <w:t xml:space="preserve"> plant with settings </w:t>
      </w:r>
      <w:r w:rsidR="00B91674">
        <w:t>that meet the PFR rule</w:t>
      </w:r>
      <w:r w:rsidR="004F3DF7">
        <w:t xml:space="preserve">. </w:t>
      </w:r>
      <w:r w:rsidR="00B91674">
        <w:t xml:space="preserve"> </w:t>
      </w:r>
      <w:r w:rsidR="004F3DF7">
        <w:t xml:space="preserve">This will avoid </w:t>
      </w:r>
      <w:r w:rsidR="00B3201C">
        <w:t>having</w:t>
      </w:r>
      <w:r w:rsidR="004F3DF7">
        <w:t xml:space="preserve"> to undertake testing later if there is a delay between commissioning of your generation and the required implementation date for PFR. </w:t>
      </w:r>
    </w:p>
    <w:p w14:paraId="2272BBED" w14:textId="1C9AD1BB" w:rsidR="00F969F9" w:rsidRDefault="00DC168D" w:rsidP="00A639F7">
      <w:r>
        <w:t>Affected GS</w:t>
      </w:r>
      <w:r w:rsidR="00F45331">
        <w:t xml:space="preserve"> will </w:t>
      </w:r>
      <w:r w:rsidR="004B3C4C">
        <w:t xml:space="preserve">be required to implement PFR settings </w:t>
      </w:r>
      <w:r w:rsidR="00F969F9">
        <w:t>by</w:t>
      </w:r>
      <w:r w:rsidR="004B3C4C">
        <w:t xml:space="preserve"> the required implementation </w:t>
      </w:r>
      <w:r w:rsidR="00C22156">
        <w:t>date for</w:t>
      </w:r>
      <w:r w:rsidR="00436FD1">
        <w:t xml:space="preserve"> </w:t>
      </w:r>
      <w:r>
        <w:t xml:space="preserve">the </w:t>
      </w:r>
      <w:r w:rsidR="00436FD1">
        <w:t>PFR settings</w:t>
      </w:r>
      <w:r>
        <w:t xml:space="preserve"> (by tranche)</w:t>
      </w:r>
      <w:r w:rsidR="00C03DED">
        <w:t xml:space="preserve">, or reaching </w:t>
      </w:r>
      <w:r w:rsidR="00457D14">
        <w:t xml:space="preserve">a </w:t>
      </w:r>
      <w:r w:rsidR="0092518A">
        <w:t>MW commissioning hold point</w:t>
      </w:r>
      <w:r w:rsidR="00C343B4">
        <w:t xml:space="preserve"> </w:t>
      </w:r>
      <w:r w:rsidR="00F969F9">
        <w:t xml:space="preserve">above the minimum level for the </w:t>
      </w:r>
      <w:r w:rsidR="00C343B4">
        <w:t>relevant generation</w:t>
      </w:r>
      <w:r w:rsidR="00F969F9">
        <w:t xml:space="preserve"> tranche</w:t>
      </w:r>
      <w:r w:rsidR="00C03DED">
        <w:t xml:space="preserve">, whichever </w:t>
      </w:r>
      <w:r w:rsidR="00F969F9">
        <w:t>occurs</w:t>
      </w:r>
      <w:r w:rsidR="00C03DED">
        <w:t xml:space="preserve"> later.</w:t>
      </w:r>
      <w:r w:rsidR="00436FD1">
        <w:t xml:space="preserve"> </w:t>
      </w:r>
      <w:r w:rsidR="00920AC9">
        <w:t xml:space="preserve"> </w:t>
      </w:r>
    </w:p>
    <w:p w14:paraId="61A075A2" w14:textId="7A56EAC2" w:rsidR="00C83F17" w:rsidRDefault="00D57490" w:rsidP="00A639F7">
      <w:r>
        <w:t>Required i</w:t>
      </w:r>
      <w:r w:rsidR="00FC4B37">
        <w:t>mplementation dates for generation in tranche 1 (DUID above 200 MW) will be prior to Summer 2020-21. Implementation dates for tranche 2 (DUID 80 – 200 MW) and tranche 3 (DUID &lt; 80 MW) have not been determined at this time</w:t>
      </w:r>
      <w:r w:rsidR="00C22156">
        <w:t xml:space="preserve">, however they will not be earlier than </w:t>
      </w:r>
      <w:r w:rsidR="00AD2BC9">
        <w:t xml:space="preserve">mid December 2020, and </w:t>
      </w:r>
      <w:r>
        <w:t>mid March 2021.</w:t>
      </w:r>
    </w:p>
    <w:p w14:paraId="2E8F7DD5" w14:textId="297F9F28" w:rsidR="00331A51" w:rsidRDefault="00436FD1" w:rsidP="00A639F7">
      <w:pPr>
        <w:rPr>
          <w:b/>
          <w:bCs/>
        </w:rPr>
      </w:pPr>
      <w:r>
        <w:t>A</w:t>
      </w:r>
      <w:r w:rsidR="00DC168D">
        <w:t>n Affected</w:t>
      </w:r>
      <w:r>
        <w:t xml:space="preserve"> </w:t>
      </w:r>
      <w:r w:rsidR="00DC168D">
        <w:t xml:space="preserve">Generator </w:t>
      </w:r>
      <w:r w:rsidR="000334F7">
        <w:t>is free</w:t>
      </w:r>
      <w:r>
        <w:t xml:space="preserve"> to implement PFR settings earlier, </w:t>
      </w:r>
      <w:r w:rsidR="000334F7">
        <w:t>provided the</w:t>
      </w:r>
      <w:r>
        <w:t xml:space="preserve"> date </w:t>
      </w:r>
      <w:r w:rsidR="000334F7">
        <w:t xml:space="preserve">is </w:t>
      </w:r>
      <w:r>
        <w:t>agreed with AEMO.</w:t>
      </w:r>
    </w:p>
    <w:p w14:paraId="5A58707D" w14:textId="77777777" w:rsidR="00436FD1" w:rsidRDefault="00436FD1" w:rsidP="00A639F7">
      <w:pPr>
        <w:rPr>
          <w:b/>
          <w:bCs/>
        </w:rPr>
      </w:pPr>
    </w:p>
    <w:p w14:paraId="68AB4FD2" w14:textId="25ADA64C" w:rsidR="00354A62" w:rsidRDefault="00354A62" w:rsidP="00A639F7">
      <w:pPr>
        <w:rPr>
          <w:b/>
          <w:bCs/>
        </w:rPr>
      </w:pPr>
      <w:r>
        <w:rPr>
          <w:b/>
          <w:bCs/>
        </w:rPr>
        <w:t>I am currently developing a new project – what does this mean for me?</w:t>
      </w:r>
    </w:p>
    <w:p w14:paraId="48204160" w14:textId="2A780A3F" w:rsidR="00C51BDD" w:rsidRPr="00844E20" w:rsidRDefault="0074535A" w:rsidP="00A639F7">
      <w:r>
        <w:t>If you intend to be registered as a Scheduled or Semi-Scheduled Generator, y</w:t>
      </w:r>
      <w:r w:rsidRPr="00844E20">
        <w:t xml:space="preserve">ou </w:t>
      </w:r>
      <w:r>
        <w:t xml:space="preserve">should read the </w:t>
      </w:r>
      <w:hyperlink r:id="rId27" w:history="1">
        <w:r w:rsidR="00920AC9">
          <w:rPr>
            <w:rStyle w:val="Hyperlink"/>
          </w:rPr>
          <w:t>IPFRR</w:t>
        </w:r>
      </w:hyperlink>
      <w:r>
        <w:t xml:space="preserve"> and then</w:t>
      </w:r>
      <w:r w:rsidRPr="00844E20">
        <w:t xml:space="preserve"> </w:t>
      </w:r>
      <w:r>
        <w:t>discuss with your connecting Network Service Provider and AEMO how you propose to implement the required PFR settings to your plant.</w:t>
      </w:r>
    </w:p>
    <w:p w14:paraId="7E44905C" w14:textId="77777777" w:rsidR="00CA1032" w:rsidRDefault="00CA1032" w:rsidP="00A639F7">
      <w:pPr>
        <w:rPr>
          <w:b/>
          <w:bCs/>
        </w:rPr>
      </w:pPr>
    </w:p>
    <w:p w14:paraId="4320E2A8" w14:textId="59F099AE" w:rsidR="005C4215" w:rsidRDefault="005C4215" w:rsidP="00A639F7">
      <w:pPr>
        <w:rPr>
          <w:b/>
          <w:bCs/>
        </w:rPr>
      </w:pPr>
      <w:r>
        <w:rPr>
          <w:b/>
          <w:bCs/>
        </w:rPr>
        <w:t>Who do I contact to discuss how this Rule impacts my plant?</w:t>
      </w:r>
    </w:p>
    <w:p w14:paraId="6337B1AB" w14:textId="7001557A" w:rsidR="005C4215" w:rsidRPr="00354A62" w:rsidRDefault="007E2C84" w:rsidP="00A639F7">
      <w:pPr>
        <w:rPr>
          <w:b/>
          <w:bCs/>
        </w:rPr>
      </w:pPr>
      <w:r>
        <w:rPr>
          <w:bCs/>
        </w:rPr>
        <w:t>The best way to get assistance on PFR matters is to</w:t>
      </w:r>
      <w:r w:rsidR="005C4215" w:rsidRPr="005C4215">
        <w:rPr>
          <w:bCs/>
        </w:rPr>
        <w:t xml:space="preserve"> send your enquiries </w:t>
      </w:r>
      <w:r>
        <w:rPr>
          <w:bCs/>
        </w:rPr>
        <w:t xml:space="preserve">via email </w:t>
      </w:r>
      <w:r w:rsidR="005C4215" w:rsidRPr="005C4215">
        <w:rPr>
          <w:bCs/>
        </w:rPr>
        <w:t xml:space="preserve">to </w:t>
      </w:r>
      <w:hyperlink r:id="rId28" w:history="1">
        <w:r w:rsidR="005C4215" w:rsidRPr="005C4215">
          <w:rPr>
            <w:rStyle w:val="Hyperlink"/>
            <w:bCs/>
          </w:rPr>
          <w:t>pfr@aemo.com.au</w:t>
        </w:r>
      </w:hyperlink>
    </w:p>
    <w:sectPr w:rsidR="005C4215" w:rsidRPr="00354A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5A8AC" w14:textId="77777777" w:rsidR="00D93622" w:rsidRDefault="00D93622" w:rsidP="00F662A0">
      <w:pPr>
        <w:spacing w:after="0" w:line="240" w:lineRule="auto"/>
      </w:pPr>
      <w:r>
        <w:separator/>
      </w:r>
    </w:p>
  </w:endnote>
  <w:endnote w:type="continuationSeparator" w:id="0">
    <w:p w14:paraId="02552BD3" w14:textId="77777777" w:rsidR="00D93622" w:rsidRDefault="00D93622" w:rsidP="00F662A0">
      <w:pPr>
        <w:spacing w:after="0" w:line="240" w:lineRule="auto"/>
      </w:pPr>
      <w:r>
        <w:continuationSeparator/>
      </w:r>
    </w:p>
  </w:endnote>
  <w:endnote w:type="continuationNotice" w:id="1">
    <w:p w14:paraId="59570C44" w14:textId="77777777" w:rsidR="00D93622" w:rsidRDefault="00D936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7DF12" w14:textId="77777777" w:rsidR="00D93622" w:rsidRDefault="00D93622" w:rsidP="00F662A0">
      <w:pPr>
        <w:spacing w:after="0" w:line="240" w:lineRule="auto"/>
      </w:pPr>
      <w:r>
        <w:separator/>
      </w:r>
    </w:p>
  </w:footnote>
  <w:footnote w:type="continuationSeparator" w:id="0">
    <w:p w14:paraId="54083549" w14:textId="77777777" w:rsidR="00D93622" w:rsidRDefault="00D93622" w:rsidP="00F662A0">
      <w:pPr>
        <w:spacing w:after="0" w:line="240" w:lineRule="auto"/>
      </w:pPr>
      <w:r>
        <w:continuationSeparator/>
      </w:r>
    </w:p>
  </w:footnote>
  <w:footnote w:type="continuationNotice" w:id="1">
    <w:p w14:paraId="106D0D2A" w14:textId="77777777" w:rsidR="00D93622" w:rsidRDefault="00D936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14BDD"/>
    <w:multiLevelType w:val="hybridMultilevel"/>
    <w:tmpl w:val="827E9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2FE2791"/>
    <w:multiLevelType w:val="hybridMultilevel"/>
    <w:tmpl w:val="37C27F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9F7"/>
    <w:rsid w:val="00004F88"/>
    <w:rsid w:val="00014C3F"/>
    <w:rsid w:val="0002115F"/>
    <w:rsid w:val="00022FB2"/>
    <w:rsid w:val="00024765"/>
    <w:rsid w:val="00025586"/>
    <w:rsid w:val="00031751"/>
    <w:rsid w:val="0003236F"/>
    <w:rsid w:val="000334F7"/>
    <w:rsid w:val="00034B69"/>
    <w:rsid w:val="00041817"/>
    <w:rsid w:val="0004540A"/>
    <w:rsid w:val="00063929"/>
    <w:rsid w:val="00075A4B"/>
    <w:rsid w:val="00076EC2"/>
    <w:rsid w:val="00083E65"/>
    <w:rsid w:val="00085F3B"/>
    <w:rsid w:val="000877E0"/>
    <w:rsid w:val="000917FD"/>
    <w:rsid w:val="00096480"/>
    <w:rsid w:val="0009648C"/>
    <w:rsid w:val="000A5972"/>
    <w:rsid w:val="000A7E9E"/>
    <w:rsid w:val="000B0BCA"/>
    <w:rsid w:val="000C076D"/>
    <w:rsid w:val="000C4F5F"/>
    <w:rsid w:val="000C793C"/>
    <w:rsid w:val="000D17AB"/>
    <w:rsid w:val="000E0569"/>
    <w:rsid w:val="000E1291"/>
    <w:rsid w:val="000E3BDE"/>
    <w:rsid w:val="000E6411"/>
    <w:rsid w:val="000E66C8"/>
    <w:rsid w:val="000E7F60"/>
    <w:rsid w:val="000F2120"/>
    <w:rsid w:val="000F5BA2"/>
    <w:rsid w:val="000F7D75"/>
    <w:rsid w:val="00117C05"/>
    <w:rsid w:val="00122267"/>
    <w:rsid w:val="00125587"/>
    <w:rsid w:val="00126C3D"/>
    <w:rsid w:val="001365FF"/>
    <w:rsid w:val="0014161F"/>
    <w:rsid w:val="00143FB1"/>
    <w:rsid w:val="0014785B"/>
    <w:rsid w:val="001478C4"/>
    <w:rsid w:val="00152418"/>
    <w:rsid w:val="00154203"/>
    <w:rsid w:val="00161204"/>
    <w:rsid w:val="001619D3"/>
    <w:rsid w:val="00165374"/>
    <w:rsid w:val="001661E1"/>
    <w:rsid w:val="00166B62"/>
    <w:rsid w:val="00166C36"/>
    <w:rsid w:val="001741DC"/>
    <w:rsid w:val="00180AE8"/>
    <w:rsid w:val="0018635D"/>
    <w:rsid w:val="00190F02"/>
    <w:rsid w:val="001A14AE"/>
    <w:rsid w:val="001B21DB"/>
    <w:rsid w:val="001C0F2D"/>
    <w:rsid w:val="001D040E"/>
    <w:rsid w:val="001D2283"/>
    <w:rsid w:val="001D3C49"/>
    <w:rsid w:val="001D54B0"/>
    <w:rsid w:val="001D742C"/>
    <w:rsid w:val="001E130A"/>
    <w:rsid w:val="001E1C0D"/>
    <w:rsid w:val="001F3573"/>
    <w:rsid w:val="001F58C4"/>
    <w:rsid w:val="001F7F9C"/>
    <w:rsid w:val="00200227"/>
    <w:rsid w:val="00205967"/>
    <w:rsid w:val="00211BAD"/>
    <w:rsid w:val="002148C7"/>
    <w:rsid w:val="00214DFD"/>
    <w:rsid w:val="00224AA8"/>
    <w:rsid w:val="00225BB5"/>
    <w:rsid w:val="00225F24"/>
    <w:rsid w:val="00233911"/>
    <w:rsid w:val="002344F7"/>
    <w:rsid w:val="00236995"/>
    <w:rsid w:val="00241E19"/>
    <w:rsid w:val="00246EC6"/>
    <w:rsid w:val="002514E8"/>
    <w:rsid w:val="0025300C"/>
    <w:rsid w:val="002811B8"/>
    <w:rsid w:val="00281EBD"/>
    <w:rsid w:val="00282DC6"/>
    <w:rsid w:val="00286E57"/>
    <w:rsid w:val="00287AFB"/>
    <w:rsid w:val="00295169"/>
    <w:rsid w:val="00295469"/>
    <w:rsid w:val="002A366E"/>
    <w:rsid w:val="002A394D"/>
    <w:rsid w:val="002A4655"/>
    <w:rsid w:val="002B4ED6"/>
    <w:rsid w:val="002B68F4"/>
    <w:rsid w:val="002C4E43"/>
    <w:rsid w:val="002D0669"/>
    <w:rsid w:val="002D1E13"/>
    <w:rsid w:val="002D76D5"/>
    <w:rsid w:val="002E5730"/>
    <w:rsid w:val="002F7BF7"/>
    <w:rsid w:val="00301026"/>
    <w:rsid w:val="003261DD"/>
    <w:rsid w:val="00327CD0"/>
    <w:rsid w:val="00331A51"/>
    <w:rsid w:val="00336F64"/>
    <w:rsid w:val="00340ABE"/>
    <w:rsid w:val="00342A4A"/>
    <w:rsid w:val="003449A4"/>
    <w:rsid w:val="00345AB1"/>
    <w:rsid w:val="00351763"/>
    <w:rsid w:val="00352877"/>
    <w:rsid w:val="00354A62"/>
    <w:rsid w:val="003613AD"/>
    <w:rsid w:val="0036779C"/>
    <w:rsid w:val="00370749"/>
    <w:rsid w:val="00372B6C"/>
    <w:rsid w:val="00377B3B"/>
    <w:rsid w:val="00382DE8"/>
    <w:rsid w:val="00387A8D"/>
    <w:rsid w:val="003901E5"/>
    <w:rsid w:val="00395799"/>
    <w:rsid w:val="003A2ACC"/>
    <w:rsid w:val="003A4E69"/>
    <w:rsid w:val="003A5ACE"/>
    <w:rsid w:val="003A7623"/>
    <w:rsid w:val="003B6ACA"/>
    <w:rsid w:val="003C784E"/>
    <w:rsid w:val="003D0744"/>
    <w:rsid w:val="003D46C1"/>
    <w:rsid w:val="003E5F69"/>
    <w:rsid w:val="003E609B"/>
    <w:rsid w:val="003F02FA"/>
    <w:rsid w:val="0040538E"/>
    <w:rsid w:val="00405976"/>
    <w:rsid w:val="004114AD"/>
    <w:rsid w:val="00412942"/>
    <w:rsid w:val="0041604F"/>
    <w:rsid w:val="004177D2"/>
    <w:rsid w:val="004178BB"/>
    <w:rsid w:val="00427934"/>
    <w:rsid w:val="004357D0"/>
    <w:rsid w:val="00436948"/>
    <w:rsid w:val="00436FD1"/>
    <w:rsid w:val="00437E66"/>
    <w:rsid w:val="0045110B"/>
    <w:rsid w:val="00453B6F"/>
    <w:rsid w:val="00457D14"/>
    <w:rsid w:val="0046004B"/>
    <w:rsid w:val="00462444"/>
    <w:rsid w:val="00465D66"/>
    <w:rsid w:val="00466C09"/>
    <w:rsid w:val="00476CC3"/>
    <w:rsid w:val="00480045"/>
    <w:rsid w:val="0048100F"/>
    <w:rsid w:val="00490B03"/>
    <w:rsid w:val="00492F5E"/>
    <w:rsid w:val="00493878"/>
    <w:rsid w:val="0049662C"/>
    <w:rsid w:val="00497E13"/>
    <w:rsid w:val="004A0733"/>
    <w:rsid w:val="004A45BA"/>
    <w:rsid w:val="004B3C4C"/>
    <w:rsid w:val="004C19EA"/>
    <w:rsid w:val="004C7937"/>
    <w:rsid w:val="004D3E6C"/>
    <w:rsid w:val="004E4C9F"/>
    <w:rsid w:val="004E6E7D"/>
    <w:rsid w:val="004F0151"/>
    <w:rsid w:val="004F3DF7"/>
    <w:rsid w:val="004F41CF"/>
    <w:rsid w:val="004F7F96"/>
    <w:rsid w:val="005047E3"/>
    <w:rsid w:val="0051768B"/>
    <w:rsid w:val="00521932"/>
    <w:rsid w:val="005235C3"/>
    <w:rsid w:val="0053011D"/>
    <w:rsid w:val="00531F99"/>
    <w:rsid w:val="005403BD"/>
    <w:rsid w:val="00547675"/>
    <w:rsid w:val="005528D5"/>
    <w:rsid w:val="00552C83"/>
    <w:rsid w:val="005538E6"/>
    <w:rsid w:val="00553B19"/>
    <w:rsid w:val="0055713D"/>
    <w:rsid w:val="00567900"/>
    <w:rsid w:val="00581BD4"/>
    <w:rsid w:val="00582ADE"/>
    <w:rsid w:val="00586061"/>
    <w:rsid w:val="00595D94"/>
    <w:rsid w:val="005972E3"/>
    <w:rsid w:val="005A10B1"/>
    <w:rsid w:val="005A3D67"/>
    <w:rsid w:val="005A7832"/>
    <w:rsid w:val="005B575B"/>
    <w:rsid w:val="005B5F5F"/>
    <w:rsid w:val="005C4215"/>
    <w:rsid w:val="005C61F7"/>
    <w:rsid w:val="005D6CE6"/>
    <w:rsid w:val="005E2542"/>
    <w:rsid w:val="005F508A"/>
    <w:rsid w:val="006041FC"/>
    <w:rsid w:val="006062B9"/>
    <w:rsid w:val="00606CC1"/>
    <w:rsid w:val="006155ED"/>
    <w:rsid w:val="006235B9"/>
    <w:rsid w:val="00627FBA"/>
    <w:rsid w:val="006327A0"/>
    <w:rsid w:val="006377CB"/>
    <w:rsid w:val="006538AE"/>
    <w:rsid w:val="0065521C"/>
    <w:rsid w:val="00657244"/>
    <w:rsid w:val="00662972"/>
    <w:rsid w:val="006645EE"/>
    <w:rsid w:val="00665EC5"/>
    <w:rsid w:val="00666B7A"/>
    <w:rsid w:val="00670741"/>
    <w:rsid w:val="00673BC5"/>
    <w:rsid w:val="00674597"/>
    <w:rsid w:val="00685EA3"/>
    <w:rsid w:val="006905A4"/>
    <w:rsid w:val="00691F6E"/>
    <w:rsid w:val="0069406E"/>
    <w:rsid w:val="00697539"/>
    <w:rsid w:val="006A5BB0"/>
    <w:rsid w:val="006A63D6"/>
    <w:rsid w:val="006A7F91"/>
    <w:rsid w:val="006B10B6"/>
    <w:rsid w:val="006B3916"/>
    <w:rsid w:val="006B5D2E"/>
    <w:rsid w:val="006C2EC0"/>
    <w:rsid w:val="006C489C"/>
    <w:rsid w:val="006C4F75"/>
    <w:rsid w:val="006D1B02"/>
    <w:rsid w:val="006E3334"/>
    <w:rsid w:val="006E7D04"/>
    <w:rsid w:val="006F06DD"/>
    <w:rsid w:val="006F0C6E"/>
    <w:rsid w:val="006F1A0F"/>
    <w:rsid w:val="006F29EC"/>
    <w:rsid w:val="006F2A4A"/>
    <w:rsid w:val="006F41FD"/>
    <w:rsid w:val="00701600"/>
    <w:rsid w:val="0070221B"/>
    <w:rsid w:val="007127F4"/>
    <w:rsid w:val="00712C01"/>
    <w:rsid w:val="007148E6"/>
    <w:rsid w:val="00715F66"/>
    <w:rsid w:val="00731B79"/>
    <w:rsid w:val="007344E6"/>
    <w:rsid w:val="0073545E"/>
    <w:rsid w:val="00736A53"/>
    <w:rsid w:val="00742676"/>
    <w:rsid w:val="0074535A"/>
    <w:rsid w:val="007456B7"/>
    <w:rsid w:val="00753D82"/>
    <w:rsid w:val="00756839"/>
    <w:rsid w:val="00772FB9"/>
    <w:rsid w:val="007803DA"/>
    <w:rsid w:val="007806EA"/>
    <w:rsid w:val="00782FFE"/>
    <w:rsid w:val="00787328"/>
    <w:rsid w:val="00793E2E"/>
    <w:rsid w:val="00794ABD"/>
    <w:rsid w:val="007B45CD"/>
    <w:rsid w:val="007B76E7"/>
    <w:rsid w:val="007C7141"/>
    <w:rsid w:val="007D1631"/>
    <w:rsid w:val="007E216A"/>
    <w:rsid w:val="007E2C84"/>
    <w:rsid w:val="007E56A0"/>
    <w:rsid w:val="007F0842"/>
    <w:rsid w:val="007F24B6"/>
    <w:rsid w:val="0080115D"/>
    <w:rsid w:val="00805124"/>
    <w:rsid w:val="008056A2"/>
    <w:rsid w:val="008059C3"/>
    <w:rsid w:val="00807242"/>
    <w:rsid w:val="00811F5F"/>
    <w:rsid w:val="00813A19"/>
    <w:rsid w:val="00816CBE"/>
    <w:rsid w:val="00821ADF"/>
    <w:rsid w:val="0082451A"/>
    <w:rsid w:val="00836ECB"/>
    <w:rsid w:val="0084048B"/>
    <w:rsid w:val="00844E20"/>
    <w:rsid w:val="00846482"/>
    <w:rsid w:val="00846C0F"/>
    <w:rsid w:val="00851E89"/>
    <w:rsid w:val="00856C9A"/>
    <w:rsid w:val="00862305"/>
    <w:rsid w:val="008659C1"/>
    <w:rsid w:val="00866EBF"/>
    <w:rsid w:val="00873B48"/>
    <w:rsid w:val="0087638A"/>
    <w:rsid w:val="00876DA4"/>
    <w:rsid w:val="008B45E7"/>
    <w:rsid w:val="008B78C8"/>
    <w:rsid w:val="008C4E34"/>
    <w:rsid w:val="008C57D2"/>
    <w:rsid w:val="008C6E87"/>
    <w:rsid w:val="008D0185"/>
    <w:rsid w:val="008D45A5"/>
    <w:rsid w:val="008E0416"/>
    <w:rsid w:val="008E6883"/>
    <w:rsid w:val="008F133D"/>
    <w:rsid w:val="008F167B"/>
    <w:rsid w:val="008F18DD"/>
    <w:rsid w:val="008F30A1"/>
    <w:rsid w:val="008F3E64"/>
    <w:rsid w:val="008F7AD1"/>
    <w:rsid w:val="00900859"/>
    <w:rsid w:val="009016B1"/>
    <w:rsid w:val="0090170E"/>
    <w:rsid w:val="00903529"/>
    <w:rsid w:val="00906DB6"/>
    <w:rsid w:val="00910C30"/>
    <w:rsid w:val="00911C05"/>
    <w:rsid w:val="00920668"/>
    <w:rsid w:val="00920AC9"/>
    <w:rsid w:val="00923074"/>
    <w:rsid w:val="0092518A"/>
    <w:rsid w:val="0093189B"/>
    <w:rsid w:val="009540A5"/>
    <w:rsid w:val="00954E1A"/>
    <w:rsid w:val="00961161"/>
    <w:rsid w:val="00962B26"/>
    <w:rsid w:val="009646CE"/>
    <w:rsid w:val="00971018"/>
    <w:rsid w:val="00983861"/>
    <w:rsid w:val="00985FA2"/>
    <w:rsid w:val="00987280"/>
    <w:rsid w:val="00996F36"/>
    <w:rsid w:val="009A2337"/>
    <w:rsid w:val="009A2767"/>
    <w:rsid w:val="009A2903"/>
    <w:rsid w:val="009B3D50"/>
    <w:rsid w:val="009B426C"/>
    <w:rsid w:val="009B5032"/>
    <w:rsid w:val="009D1F38"/>
    <w:rsid w:val="009D433E"/>
    <w:rsid w:val="009D505F"/>
    <w:rsid w:val="009E15C9"/>
    <w:rsid w:val="009F19D3"/>
    <w:rsid w:val="009F660F"/>
    <w:rsid w:val="009F6C76"/>
    <w:rsid w:val="009F6F33"/>
    <w:rsid w:val="00A02364"/>
    <w:rsid w:val="00A03EA7"/>
    <w:rsid w:val="00A166B0"/>
    <w:rsid w:val="00A20415"/>
    <w:rsid w:val="00A207A6"/>
    <w:rsid w:val="00A2244F"/>
    <w:rsid w:val="00A2701A"/>
    <w:rsid w:val="00A306DB"/>
    <w:rsid w:val="00A311C8"/>
    <w:rsid w:val="00A31E10"/>
    <w:rsid w:val="00A357BA"/>
    <w:rsid w:val="00A35832"/>
    <w:rsid w:val="00A40542"/>
    <w:rsid w:val="00A5278F"/>
    <w:rsid w:val="00A550E4"/>
    <w:rsid w:val="00A56BE0"/>
    <w:rsid w:val="00A60313"/>
    <w:rsid w:val="00A6301D"/>
    <w:rsid w:val="00A639F7"/>
    <w:rsid w:val="00A66376"/>
    <w:rsid w:val="00A67949"/>
    <w:rsid w:val="00A75947"/>
    <w:rsid w:val="00A77817"/>
    <w:rsid w:val="00A816ED"/>
    <w:rsid w:val="00A91553"/>
    <w:rsid w:val="00A957E0"/>
    <w:rsid w:val="00A95C83"/>
    <w:rsid w:val="00AA09D2"/>
    <w:rsid w:val="00AB2814"/>
    <w:rsid w:val="00AB55ED"/>
    <w:rsid w:val="00AC2CA9"/>
    <w:rsid w:val="00AC32A0"/>
    <w:rsid w:val="00AC6CD4"/>
    <w:rsid w:val="00AC7D09"/>
    <w:rsid w:val="00AD0F48"/>
    <w:rsid w:val="00AD2BC9"/>
    <w:rsid w:val="00AD5819"/>
    <w:rsid w:val="00AE2E73"/>
    <w:rsid w:val="00AE41CB"/>
    <w:rsid w:val="00AF4DED"/>
    <w:rsid w:val="00B006CE"/>
    <w:rsid w:val="00B04431"/>
    <w:rsid w:val="00B06F5F"/>
    <w:rsid w:val="00B0717A"/>
    <w:rsid w:val="00B1135F"/>
    <w:rsid w:val="00B11AF5"/>
    <w:rsid w:val="00B13313"/>
    <w:rsid w:val="00B1345C"/>
    <w:rsid w:val="00B170A4"/>
    <w:rsid w:val="00B17E89"/>
    <w:rsid w:val="00B234CD"/>
    <w:rsid w:val="00B26A75"/>
    <w:rsid w:val="00B3201C"/>
    <w:rsid w:val="00B473A4"/>
    <w:rsid w:val="00B56B1E"/>
    <w:rsid w:val="00B56EE2"/>
    <w:rsid w:val="00B572BB"/>
    <w:rsid w:val="00B61035"/>
    <w:rsid w:val="00B65355"/>
    <w:rsid w:val="00B67080"/>
    <w:rsid w:val="00B762FA"/>
    <w:rsid w:val="00B76434"/>
    <w:rsid w:val="00B770F9"/>
    <w:rsid w:val="00B80A6D"/>
    <w:rsid w:val="00B845C8"/>
    <w:rsid w:val="00B91674"/>
    <w:rsid w:val="00B96F70"/>
    <w:rsid w:val="00B97A6E"/>
    <w:rsid w:val="00B97DAA"/>
    <w:rsid w:val="00BA0316"/>
    <w:rsid w:val="00BA3AEB"/>
    <w:rsid w:val="00BA3E80"/>
    <w:rsid w:val="00BA5BFA"/>
    <w:rsid w:val="00BA6239"/>
    <w:rsid w:val="00BB16FB"/>
    <w:rsid w:val="00BB21AC"/>
    <w:rsid w:val="00BC7AC7"/>
    <w:rsid w:val="00BD4DB0"/>
    <w:rsid w:val="00BD726E"/>
    <w:rsid w:val="00BF45E0"/>
    <w:rsid w:val="00C02ACF"/>
    <w:rsid w:val="00C03823"/>
    <w:rsid w:val="00C03DED"/>
    <w:rsid w:val="00C06EE5"/>
    <w:rsid w:val="00C0787C"/>
    <w:rsid w:val="00C07CB3"/>
    <w:rsid w:val="00C178B6"/>
    <w:rsid w:val="00C22156"/>
    <w:rsid w:val="00C343B4"/>
    <w:rsid w:val="00C3463E"/>
    <w:rsid w:val="00C353C0"/>
    <w:rsid w:val="00C51BDD"/>
    <w:rsid w:val="00C51E9B"/>
    <w:rsid w:val="00C53C35"/>
    <w:rsid w:val="00C552F6"/>
    <w:rsid w:val="00C5534D"/>
    <w:rsid w:val="00C579E7"/>
    <w:rsid w:val="00C71935"/>
    <w:rsid w:val="00C73C32"/>
    <w:rsid w:val="00C80319"/>
    <w:rsid w:val="00C82753"/>
    <w:rsid w:val="00C83DB2"/>
    <w:rsid w:val="00C83F17"/>
    <w:rsid w:val="00C855F3"/>
    <w:rsid w:val="00C920D3"/>
    <w:rsid w:val="00CA1032"/>
    <w:rsid w:val="00CA2C49"/>
    <w:rsid w:val="00CA6ECF"/>
    <w:rsid w:val="00CA7C9A"/>
    <w:rsid w:val="00CB4859"/>
    <w:rsid w:val="00CB6475"/>
    <w:rsid w:val="00CC52DE"/>
    <w:rsid w:val="00CE180B"/>
    <w:rsid w:val="00CE5249"/>
    <w:rsid w:val="00D02706"/>
    <w:rsid w:val="00D02EE0"/>
    <w:rsid w:val="00D05BDC"/>
    <w:rsid w:val="00D064AF"/>
    <w:rsid w:val="00D124A1"/>
    <w:rsid w:val="00D13B9A"/>
    <w:rsid w:val="00D16433"/>
    <w:rsid w:val="00D31909"/>
    <w:rsid w:val="00D31BBD"/>
    <w:rsid w:val="00D35F70"/>
    <w:rsid w:val="00D4769B"/>
    <w:rsid w:val="00D50474"/>
    <w:rsid w:val="00D52245"/>
    <w:rsid w:val="00D57490"/>
    <w:rsid w:val="00D57492"/>
    <w:rsid w:val="00D6115F"/>
    <w:rsid w:val="00D616A2"/>
    <w:rsid w:val="00D6440B"/>
    <w:rsid w:val="00D67143"/>
    <w:rsid w:val="00D73597"/>
    <w:rsid w:val="00D75EB6"/>
    <w:rsid w:val="00D76E45"/>
    <w:rsid w:val="00D874CE"/>
    <w:rsid w:val="00D93622"/>
    <w:rsid w:val="00DA609C"/>
    <w:rsid w:val="00DB0DD1"/>
    <w:rsid w:val="00DB3F3D"/>
    <w:rsid w:val="00DB5A71"/>
    <w:rsid w:val="00DC168D"/>
    <w:rsid w:val="00DD1B6A"/>
    <w:rsid w:val="00DD3A99"/>
    <w:rsid w:val="00DE4D08"/>
    <w:rsid w:val="00DE4E69"/>
    <w:rsid w:val="00DE69E5"/>
    <w:rsid w:val="00DE746B"/>
    <w:rsid w:val="00DF0110"/>
    <w:rsid w:val="00DF0F94"/>
    <w:rsid w:val="00E12FD5"/>
    <w:rsid w:val="00E13DB9"/>
    <w:rsid w:val="00E24A75"/>
    <w:rsid w:val="00E26D7D"/>
    <w:rsid w:val="00E2711D"/>
    <w:rsid w:val="00E32701"/>
    <w:rsid w:val="00E33539"/>
    <w:rsid w:val="00E35AF7"/>
    <w:rsid w:val="00E46EA3"/>
    <w:rsid w:val="00E56F90"/>
    <w:rsid w:val="00E575F4"/>
    <w:rsid w:val="00E607C9"/>
    <w:rsid w:val="00E71467"/>
    <w:rsid w:val="00E73935"/>
    <w:rsid w:val="00E77AD9"/>
    <w:rsid w:val="00E808D5"/>
    <w:rsid w:val="00E85C3B"/>
    <w:rsid w:val="00E9100A"/>
    <w:rsid w:val="00E958B0"/>
    <w:rsid w:val="00EA525E"/>
    <w:rsid w:val="00EB181A"/>
    <w:rsid w:val="00EB6E3E"/>
    <w:rsid w:val="00EC2820"/>
    <w:rsid w:val="00EC5293"/>
    <w:rsid w:val="00EC5986"/>
    <w:rsid w:val="00ED0BBD"/>
    <w:rsid w:val="00ED5E3E"/>
    <w:rsid w:val="00EE24F2"/>
    <w:rsid w:val="00EE3CAA"/>
    <w:rsid w:val="00F00767"/>
    <w:rsid w:val="00F03173"/>
    <w:rsid w:val="00F1208C"/>
    <w:rsid w:val="00F25C6B"/>
    <w:rsid w:val="00F30763"/>
    <w:rsid w:val="00F40A8D"/>
    <w:rsid w:val="00F45331"/>
    <w:rsid w:val="00F47EF4"/>
    <w:rsid w:val="00F5143A"/>
    <w:rsid w:val="00F54E49"/>
    <w:rsid w:val="00F63245"/>
    <w:rsid w:val="00F64CFC"/>
    <w:rsid w:val="00F662A0"/>
    <w:rsid w:val="00F705E8"/>
    <w:rsid w:val="00F728F3"/>
    <w:rsid w:val="00F8000B"/>
    <w:rsid w:val="00F804FD"/>
    <w:rsid w:val="00F82125"/>
    <w:rsid w:val="00F969F9"/>
    <w:rsid w:val="00F975C0"/>
    <w:rsid w:val="00FA6530"/>
    <w:rsid w:val="00FC4B37"/>
    <w:rsid w:val="00FC574E"/>
    <w:rsid w:val="00FD03EA"/>
    <w:rsid w:val="00FD5181"/>
    <w:rsid w:val="00FE1FB5"/>
    <w:rsid w:val="00FF3632"/>
    <w:rsid w:val="02146FED"/>
    <w:rsid w:val="090F12DD"/>
    <w:rsid w:val="0A5A46DF"/>
    <w:rsid w:val="0AD05153"/>
    <w:rsid w:val="0CB9CF72"/>
    <w:rsid w:val="0D1D5FB0"/>
    <w:rsid w:val="0D4AA340"/>
    <w:rsid w:val="0ECB208D"/>
    <w:rsid w:val="0F2E2C9F"/>
    <w:rsid w:val="0F41F012"/>
    <w:rsid w:val="11879700"/>
    <w:rsid w:val="1212AA3A"/>
    <w:rsid w:val="12332861"/>
    <w:rsid w:val="145C8F06"/>
    <w:rsid w:val="156870A2"/>
    <w:rsid w:val="173BD416"/>
    <w:rsid w:val="1777C198"/>
    <w:rsid w:val="18362BA7"/>
    <w:rsid w:val="18B95D3C"/>
    <w:rsid w:val="26248325"/>
    <w:rsid w:val="2A42B925"/>
    <w:rsid w:val="2C97E11F"/>
    <w:rsid w:val="2D44BF86"/>
    <w:rsid w:val="2E72D082"/>
    <w:rsid w:val="30891C57"/>
    <w:rsid w:val="3257BACE"/>
    <w:rsid w:val="353D1845"/>
    <w:rsid w:val="35F6F518"/>
    <w:rsid w:val="396688B3"/>
    <w:rsid w:val="3D0512A7"/>
    <w:rsid w:val="3F470C22"/>
    <w:rsid w:val="43451C03"/>
    <w:rsid w:val="443B37D8"/>
    <w:rsid w:val="453114D2"/>
    <w:rsid w:val="4B8BCA3A"/>
    <w:rsid w:val="4BE6D17D"/>
    <w:rsid w:val="4C542B2C"/>
    <w:rsid w:val="4E306865"/>
    <w:rsid w:val="5030A529"/>
    <w:rsid w:val="50CD7B1B"/>
    <w:rsid w:val="52DAF4C4"/>
    <w:rsid w:val="5312A976"/>
    <w:rsid w:val="570F724A"/>
    <w:rsid w:val="57FCBFA3"/>
    <w:rsid w:val="5914EC7B"/>
    <w:rsid w:val="5DF5C1E2"/>
    <w:rsid w:val="5EA2ED04"/>
    <w:rsid w:val="5F777023"/>
    <w:rsid w:val="5F7AC14E"/>
    <w:rsid w:val="61616406"/>
    <w:rsid w:val="61AE2241"/>
    <w:rsid w:val="64FB9EB9"/>
    <w:rsid w:val="66A22418"/>
    <w:rsid w:val="66F14092"/>
    <w:rsid w:val="69816771"/>
    <w:rsid w:val="69CA931F"/>
    <w:rsid w:val="6C6F9274"/>
    <w:rsid w:val="729DF732"/>
    <w:rsid w:val="72AE35EA"/>
    <w:rsid w:val="75B820AF"/>
    <w:rsid w:val="7785230E"/>
    <w:rsid w:val="785DBDF5"/>
    <w:rsid w:val="7890B1DD"/>
    <w:rsid w:val="78EC6C71"/>
    <w:rsid w:val="7C711E7F"/>
    <w:rsid w:val="7CAF2502"/>
    <w:rsid w:val="7D5F294F"/>
    <w:rsid w:val="7F0359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D05C"/>
  <w15:chartTrackingRefBased/>
  <w15:docId w15:val="{4C8621F8-C6FA-40CC-B69A-311F14508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9F7"/>
    <w:pPr>
      <w:ind w:left="720"/>
      <w:contextualSpacing/>
    </w:pPr>
  </w:style>
  <w:style w:type="character" w:styleId="Hyperlink">
    <w:name w:val="Hyperlink"/>
    <w:basedOn w:val="DefaultParagraphFont"/>
    <w:uiPriority w:val="99"/>
    <w:unhideWhenUsed/>
    <w:rsid w:val="005C4215"/>
    <w:rPr>
      <w:color w:val="0563C1" w:themeColor="hyperlink"/>
      <w:u w:val="single"/>
    </w:rPr>
  </w:style>
  <w:style w:type="character" w:styleId="UnresolvedMention">
    <w:name w:val="Unresolved Mention"/>
    <w:basedOn w:val="DefaultParagraphFont"/>
    <w:uiPriority w:val="99"/>
    <w:semiHidden/>
    <w:unhideWhenUsed/>
    <w:rsid w:val="005C4215"/>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56C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C9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B3916"/>
    <w:rPr>
      <w:b/>
      <w:bCs/>
    </w:rPr>
  </w:style>
  <w:style w:type="character" w:customStyle="1" w:styleId="CommentSubjectChar">
    <w:name w:val="Comment Subject Char"/>
    <w:basedOn w:val="CommentTextChar"/>
    <w:link w:val="CommentSubject"/>
    <w:uiPriority w:val="99"/>
    <w:semiHidden/>
    <w:rsid w:val="006B3916"/>
    <w:rPr>
      <w:b/>
      <w:bCs/>
      <w:sz w:val="20"/>
      <w:szCs w:val="20"/>
    </w:rPr>
  </w:style>
  <w:style w:type="paragraph" w:styleId="Header">
    <w:name w:val="header"/>
    <w:basedOn w:val="Normal"/>
    <w:link w:val="HeaderChar"/>
    <w:uiPriority w:val="99"/>
    <w:semiHidden/>
    <w:unhideWhenUsed/>
    <w:rsid w:val="00F662A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662A0"/>
  </w:style>
  <w:style w:type="paragraph" w:styleId="Footer">
    <w:name w:val="footer"/>
    <w:basedOn w:val="Normal"/>
    <w:link w:val="FooterChar"/>
    <w:uiPriority w:val="99"/>
    <w:semiHidden/>
    <w:unhideWhenUsed/>
    <w:rsid w:val="00F662A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662A0"/>
  </w:style>
  <w:style w:type="paragraph" w:styleId="FootnoteText">
    <w:name w:val="footnote text"/>
    <w:basedOn w:val="Normal"/>
    <w:link w:val="FootnoteTextChar"/>
    <w:uiPriority w:val="29"/>
    <w:semiHidden/>
    <w:unhideWhenUsed/>
    <w:rsid w:val="00F662A0"/>
    <w:pPr>
      <w:tabs>
        <w:tab w:val="left" w:pos="180"/>
      </w:tabs>
      <w:spacing w:after="0" w:line="240" w:lineRule="auto"/>
      <w:ind w:left="180" w:hanging="180"/>
    </w:pPr>
    <w:rPr>
      <w:rFonts w:eastAsia="Calibri" w:cs="Times New Roman"/>
      <w:sz w:val="16"/>
      <w:szCs w:val="20"/>
    </w:rPr>
  </w:style>
  <w:style w:type="character" w:customStyle="1" w:styleId="FootnoteTextChar">
    <w:name w:val="Footnote Text Char"/>
    <w:basedOn w:val="DefaultParagraphFont"/>
    <w:link w:val="FootnoteText"/>
    <w:uiPriority w:val="29"/>
    <w:semiHidden/>
    <w:rsid w:val="00F662A0"/>
    <w:rPr>
      <w:rFonts w:eastAsia="Calibri" w:cs="Times New Roman"/>
      <w:sz w:val="16"/>
      <w:szCs w:val="20"/>
    </w:rPr>
  </w:style>
  <w:style w:type="paragraph" w:customStyle="1" w:styleId="TableText">
    <w:name w:val="Table Text"/>
    <w:uiPriority w:val="5"/>
    <w:qFormat/>
    <w:rsid w:val="00F662A0"/>
    <w:pPr>
      <w:spacing w:before="40" w:after="40" w:line="256" w:lineRule="auto"/>
    </w:pPr>
    <w:rPr>
      <w:sz w:val="18"/>
      <w:szCs w:val="18"/>
    </w:rPr>
  </w:style>
  <w:style w:type="character" w:styleId="FootnoteReference">
    <w:name w:val="footnote reference"/>
    <w:basedOn w:val="DefaultParagraphFont"/>
    <w:uiPriority w:val="99"/>
    <w:semiHidden/>
    <w:unhideWhenUsed/>
    <w:rsid w:val="00F662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642783">
      <w:bodyDiv w:val="1"/>
      <w:marLeft w:val="0"/>
      <w:marRight w:val="0"/>
      <w:marTop w:val="0"/>
      <w:marBottom w:val="0"/>
      <w:divBdr>
        <w:top w:val="none" w:sz="0" w:space="0" w:color="auto"/>
        <w:left w:val="none" w:sz="0" w:space="0" w:color="auto"/>
        <w:bottom w:val="none" w:sz="0" w:space="0" w:color="auto"/>
        <w:right w:val="none" w:sz="0" w:space="0" w:color="auto"/>
      </w:divBdr>
    </w:div>
    <w:div w:id="205692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aemc.gov.au/rule-changes/mandatory-primary-frequency-response" TargetMode="External"/><Relationship Id="rId18" Type="http://schemas.openxmlformats.org/officeDocument/2006/relationships/hyperlink" Target="https://aemo.com.au/consultations/current-and-closed-consultations/primary-frequency-response-requirements-document-consultation" TargetMode="External"/><Relationship Id="rId26" Type="http://schemas.openxmlformats.org/officeDocument/2006/relationships/hyperlink" Target="https://aemo.com.au/consultations/current-and-closed-consultations/primary-frequency-response-requirements-document-consultation" TargetMode="External"/><Relationship Id="rId3" Type="http://schemas.openxmlformats.org/officeDocument/2006/relationships/customXml" Target="../customXml/item3.xml"/><Relationship Id="rId21" Type="http://schemas.openxmlformats.org/officeDocument/2006/relationships/hyperlink" Target="https://aemo.com.au/consultations/current-and-closed-consultations/primary-frequency-response-requirements-document-consultatio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aemo.com.au/consultations/current-and-closed-consultations/primary-frequency-response-requirements-document-consultation" TargetMode="External"/><Relationship Id="rId25" Type="http://schemas.openxmlformats.org/officeDocument/2006/relationships/hyperlink" Target="https://aemo.com.au/consultations/current-and-closed-consultations/primary-frequency-response-requirements-document-consultation" TargetMode="External"/><Relationship Id="rId2" Type="http://schemas.openxmlformats.org/officeDocument/2006/relationships/customXml" Target="../customXml/item2.xml"/><Relationship Id="rId16" Type="http://schemas.openxmlformats.org/officeDocument/2006/relationships/hyperlink" Target="https://aemo.com.au/consultations/current-and-closed-consultations/primary-frequency-response-requirements-document-consultation" TargetMode="External"/><Relationship Id="rId20" Type="http://schemas.openxmlformats.org/officeDocument/2006/relationships/hyperlink" Target="https://aemo.com.au/-/media/files/electricity/nem/security_and_reliability/ancillary_services/market-ancillary-service-specification-v50--effective-30-july-2017.pdf?la=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aemo.com.au/consultations/current-and-closed-consultations/primary-frequency-response-requirements-document-consultation" TargetMode="External"/><Relationship Id="rId5" Type="http://schemas.openxmlformats.org/officeDocument/2006/relationships/customXml" Target="../customXml/item5.xml"/><Relationship Id="rId15" Type="http://schemas.openxmlformats.org/officeDocument/2006/relationships/hyperlink" Target="https://aemo.com.au/consultations/current-and-closed-consultations/primary-frequency-response-requirements-document-consultation" TargetMode="External"/><Relationship Id="rId23" Type="http://schemas.openxmlformats.org/officeDocument/2006/relationships/hyperlink" Target="https://aemo.com.au/consultations/current-and-closed-consultations/primary-frequency-response-requirements-document-consultation" TargetMode="External"/><Relationship Id="rId28" Type="http://schemas.openxmlformats.org/officeDocument/2006/relationships/hyperlink" Target="mailto:pfr@aemo.com.au" TargetMode="External"/><Relationship Id="rId10" Type="http://schemas.openxmlformats.org/officeDocument/2006/relationships/webSettings" Target="webSettings.xml"/><Relationship Id="rId19" Type="http://schemas.openxmlformats.org/officeDocument/2006/relationships/hyperlink" Target="https://aemo.com.au/consultations/current-and-closed-consultations/primary-frequency-response-requirements-document-consultatio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emc.gov.au/rule-changes/mandatory-primary-frequency-response" TargetMode="External"/><Relationship Id="rId22" Type="http://schemas.openxmlformats.org/officeDocument/2006/relationships/hyperlink" Target="https://aemo.com.au/consultations/current-and-closed-consultations/primary-frequency-response-requirements-document-consultation" TargetMode="External"/><Relationship Id="rId27" Type="http://schemas.openxmlformats.org/officeDocument/2006/relationships/hyperlink" Target="https://aemo.com.au/consultations/current-and-closed-consultations/primary-frequency-response-requirements-document-consultation"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EMODocument" ma:contentTypeID="0x0101009BE89D58CAF0934CA32A20BCFFD353DC0058F3B1559414874F945054FB97EB8423" ma:contentTypeVersion="9" ma:contentTypeDescription="" ma:contentTypeScope="" ma:versionID="ea786ab8a67165f11073b83aa801ac17">
  <xsd:schema xmlns:xsd="http://www.w3.org/2001/XMLSchema" xmlns:xs="http://www.w3.org/2001/XMLSchema" xmlns:p="http://schemas.microsoft.com/office/2006/metadata/properties" xmlns:ns2="a14523ce-dede-483e-883a-2d83261080bd" targetNamespace="http://schemas.microsoft.com/office/2006/metadata/properties" ma:root="true" ma:fieldsID="5b14b08eadba20b194e44806c70cf5d1"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AEMOCustodian" minOccurs="0"/>
                <xsd:element ref="ns2:AEMODescription" minOccurs="0"/>
                <xsd:element ref="ns2:AEMODocumentTypeTaxHTField0" minOccurs="0"/>
                <xsd:element ref="ns2:AEMOKeywordsTaxHTField0" minOccurs="0"/>
                <xsd:element ref="ns2:Archiv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06b1b9cb-2d7e-449d-975f-61ff2967b4d7}" ma:internalName="TaxCatchAll" ma:showField="CatchAllData" ma:web="02ca1290-7040-4608-b4cb-d584c4cb7cd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06b1b9cb-2d7e-449d-975f-61ff2967b4d7}" ma:internalName="TaxCatchAllLabel" ma:readOnly="true" ma:showField="CatchAllDataLabel" ma:web="02ca1290-7040-4608-b4cb-d584c4cb7cd9">
      <xsd:complexType>
        <xsd:complexContent>
          <xsd:extension base="dms:MultiChoiceLookup">
            <xsd:sequence>
              <xsd:element name="Value" type="dms:Lookup" maxOccurs="unbounded" minOccurs="0" nillable="true"/>
            </xsd:sequence>
          </xsd:extension>
        </xsd:complexContent>
      </xsd:complexType>
    </xsd:element>
    <xsd:element name="AEMOCustodian" ma:index="13" nillable="true" ma:displayName="AEMOCustodian" ma:list="UserInfo" ma:SharePointGroup="0" ma:internalName="AEMOCustodia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4" nillable="true" ma:displayName="AEMODescription" ma:internalName="AEMODescription" ma:readOnly="false">
      <xsd:simpleType>
        <xsd:restriction base="dms:Note"/>
      </xsd:simpleType>
    </xsd:element>
    <xsd:element name="AEMODocumentTypeTaxHTField0" ma:index="15" nillable="true" ma:taxonomy="true" ma:internalName="AEMODocumentTypeTaxHTField0" ma:taxonomyFieldName="AEMODocumentType" ma:displayName="AEMODocumentType" ma:readOnly="false" ma:default="1;#Operational Record|859762f2-4462-42eb-9744-c955c7e2c540" ma:fieldId="{da861434-c661-4929-8c0f-a462c80621ee}" ma:sspId="409ac0fb-07cb-4169-8a26-def2760b5502" ma:termSetId="7d85e329-3a18-4351-8865-4c9585fd1cc0" ma:anchorId="00000000-0000-0000-0000-000000000000" ma:open="false" ma:isKeyword="false">
      <xsd:complexType>
        <xsd:sequence>
          <xsd:element ref="pc:Terms" minOccurs="0" maxOccurs="1"/>
        </xsd:sequence>
      </xsd:complexType>
    </xsd:element>
    <xsd:element name="AEMOKeywordsTaxHTField0" ma:index="17" nillable="true" ma:taxonomy="true" ma:internalName="AEMOKeywordsTaxHTField0" ma:taxonomyFieldName="AEMOKeywords" ma:displayName="AEMOKeywords" ma:readOnly="false" ma:default="" ma:fieldId="{443585ba-fce9-427e-bd78-308c17c973aa}" ma:taxonomyMulti="true" ma:sspId="409ac0fb-07cb-4169-8a26-def2760b5502" ma:termSetId="70885f33-8be5-4917-bc67-8833a068ef45" ma:anchorId="00000000-0000-0000-0000-000000000000" ma:open="true" ma:isKeyword="false">
      <xsd:complexType>
        <xsd:sequence>
          <xsd:element ref="pc:Terms" minOccurs="0" maxOccurs="1"/>
        </xsd:sequence>
      </xsd:complexType>
    </xsd:element>
    <xsd:element name="ArchiveDocument" ma:index="19" nillable="true" ma:displayName="ArchiveDocument" ma:default="0" ma:description="Checking this box will send the document to the AEMO Archive and leave a link in its place." ma:internalName="Archive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EMOCustodian xmlns="a14523ce-dede-483e-883a-2d83261080bd">
      <UserInfo>
        <DisplayName/>
        <AccountId xsi:nil="true"/>
        <AccountType/>
      </UserInfo>
    </AEMOCustodian>
    <ArchiveDocument xmlns="a14523ce-dede-483e-883a-2d83261080bd">false</ArchiveDocument>
    <AEMODocumentTypeTaxHTField0 xmlns="a14523ce-dede-483e-883a-2d83261080bd">
      <Terms xmlns="http://schemas.microsoft.com/office/infopath/2007/PartnerControls">
        <TermInfo xmlns="http://schemas.microsoft.com/office/infopath/2007/PartnerControls">
          <TermName xmlns="http://schemas.microsoft.com/office/infopath/2007/PartnerControls">Operational Record</TermName>
          <TermId xmlns="http://schemas.microsoft.com/office/infopath/2007/PartnerControls">859762f2-4462-42eb-9744-c955c7e2c540</TermId>
        </TermInfo>
      </Terms>
    </AEMODocumentTypeTaxHTField0>
    <AEMOKeywordsTaxHTField0 xmlns="a14523ce-dede-483e-883a-2d83261080bd">
      <Terms xmlns="http://schemas.microsoft.com/office/infopath/2007/PartnerControls"/>
    </AEMOKeywordsTaxHTField0>
    <TaxCatchAll xmlns="a14523ce-dede-483e-883a-2d83261080bd">
      <Value>1</Value>
    </TaxCatchAll>
    <AEMODescription xmlns="a14523ce-dede-483e-883a-2d83261080bd" xsi:nil="true"/>
    <_dlc_DocId xmlns="a14523ce-dede-483e-883a-2d83261080bd">STAKEHOLD-6-5271</_dlc_DocId>
    <_dlc_DocIdUrl xmlns="a14523ce-dede-483e-883a-2d83261080bd">
      <Url>http://sharedocs/sites/sr/_layouts/15/DocIdRedir.aspx?ID=STAKEHOLD-6-5271</Url>
      <Description>STAKEHOLD-6-5271</Description>
    </_dlc_DocIdUrl>
  </documentManagement>
</p:properties>
</file>

<file path=customXml/item3.xml><?xml version="1.0" encoding="utf-8"?>
<?mso-contentType ?>
<SharedContentType xmlns="Microsoft.SharePoint.Taxonomy.ContentTypeSync" SourceId="409ac0fb-07cb-4169-8a26-def2760b5502" ContentTypeId="0x0101009BE89D58CAF0934CA32A20BCFFD353DC"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A90083E-2FD1-4007-ACFE-4B61E7E0F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523ce-dede-483e-883a-2d8326108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100DAA-2A8C-413C-925F-56B31343F2D4}">
  <ds:schemaRefs>
    <ds:schemaRef ds:uri="http://purl.org/dc/terms/"/>
    <ds:schemaRef ds:uri="http://schemas.openxmlformats.org/package/2006/metadata/core-properties"/>
    <ds:schemaRef ds:uri="a14523ce-dede-483e-883a-2d83261080bd"/>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EF0F8B4-10CB-4E69-AB08-344CB017702F}">
  <ds:schemaRefs>
    <ds:schemaRef ds:uri="Microsoft.SharePoint.Taxonomy.ContentTypeSync"/>
  </ds:schemaRefs>
</ds:datastoreItem>
</file>

<file path=customXml/itemProps4.xml><?xml version="1.0" encoding="utf-8"?>
<ds:datastoreItem xmlns:ds="http://schemas.openxmlformats.org/officeDocument/2006/customXml" ds:itemID="{77630BBF-0EA4-48A2-93FD-4BFA5DB75102}">
  <ds:schemaRefs>
    <ds:schemaRef ds:uri="http://schemas.microsoft.com/sharepoint/v3/contenttype/forms"/>
  </ds:schemaRefs>
</ds:datastoreItem>
</file>

<file path=customXml/itemProps5.xml><?xml version="1.0" encoding="utf-8"?>
<ds:datastoreItem xmlns:ds="http://schemas.openxmlformats.org/officeDocument/2006/customXml" ds:itemID="{F9D3CB31-47FE-45B2-B5D5-0D213BC62F0B}">
  <ds:schemaRefs>
    <ds:schemaRef ds:uri="http://schemas.microsoft.com/office/2006/metadata/customXsn"/>
  </ds:schemaRefs>
</ds:datastoreItem>
</file>

<file path=customXml/itemProps6.xml><?xml version="1.0" encoding="utf-8"?>
<ds:datastoreItem xmlns:ds="http://schemas.openxmlformats.org/officeDocument/2006/customXml" ds:itemID="{5A93127E-C826-47C8-AE6C-EEDDC0FE7E1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2392</Words>
  <Characters>13638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15999</CharactersWithSpaces>
  <SharedDoc>false</SharedDoc>
  <HLinks>
    <vt:vector size="102" baseType="variant">
      <vt:variant>
        <vt:i4>7733257</vt:i4>
      </vt:variant>
      <vt:variant>
        <vt:i4>57</vt:i4>
      </vt:variant>
      <vt:variant>
        <vt:i4>0</vt:i4>
      </vt:variant>
      <vt:variant>
        <vt:i4>5</vt:i4>
      </vt:variant>
      <vt:variant>
        <vt:lpwstr>mailto:pfr@aemo.com.au</vt:lpwstr>
      </vt:variant>
      <vt:variant>
        <vt:lpwstr/>
      </vt:variant>
      <vt:variant>
        <vt:i4>458771</vt:i4>
      </vt:variant>
      <vt:variant>
        <vt:i4>54</vt:i4>
      </vt:variant>
      <vt:variant>
        <vt:i4>0</vt:i4>
      </vt:variant>
      <vt:variant>
        <vt:i4>5</vt:i4>
      </vt:variant>
      <vt:variant>
        <vt:lpwstr>https://aemo.com.au/consultations/current-and-closed-consultations/primary-frequency-response-requirements-document-consultation</vt:lpwstr>
      </vt:variant>
      <vt:variant>
        <vt:lpwstr/>
      </vt:variant>
      <vt:variant>
        <vt:i4>458771</vt:i4>
      </vt:variant>
      <vt:variant>
        <vt:i4>51</vt:i4>
      </vt:variant>
      <vt:variant>
        <vt:i4>0</vt:i4>
      </vt:variant>
      <vt:variant>
        <vt:i4>5</vt:i4>
      </vt:variant>
      <vt:variant>
        <vt:lpwstr>https://aemo.com.au/consultations/current-and-closed-consultations/primary-frequency-response-requirements-document-consultation</vt:lpwstr>
      </vt:variant>
      <vt:variant>
        <vt:lpwstr/>
      </vt:variant>
      <vt:variant>
        <vt:i4>458771</vt:i4>
      </vt:variant>
      <vt:variant>
        <vt:i4>48</vt:i4>
      </vt:variant>
      <vt:variant>
        <vt:i4>0</vt:i4>
      </vt:variant>
      <vt:variant>
        <vt:i4>5</vt:i4>
      </vt:variant>
      <vt:variant>
        <vt:lpwstr>https://aemo.com.au/consultations/current-and-closed-consultations/primary-frequency-response-requirements-document-consultation</vt:lpwstr>
      </vt:variant>
      <vt:variant>
        <vt:lpwstr/>
      </vt:variant>
      <vt:variant>
        <vt:i4>458771</vt:i4>
      </vt:variant>
      <vt:variant>
        <vt:i4>45</vt:i4>
      </vt:variant>
      <vt:variant>
        <vt:i4>0</vt:i4>
      </vt:variant>
      <vt:variant>
        <vt:i4>5</vt:i4>
      </vt:variant>
      <vt:variant>
        <vt:lpwstr>https://aemo.com.au/consultations/current-and-closed-consultations/primary-frequency-response-requirements-document-consultation</vt:lpwstr>
      </vt:variant>
      <vt:variant>
        <vt:lpwstr/>
      </vt:variant>
      <vt:variant>
        <vt:i4>458771</vt:i4>
      </vt:variant>
      <vt:variant>
        <vt:i4>42</vt:i4>
      </vt:variant>
      <vt:variant>
        <vt:i4>0</vt:i4>
      </vt:variant>
      <vt:variant>
        <vt:i4>5</vt:i4>
      </vt:variant>
      <vt:variant>
        <vt:lpwstr>https://aemo.com.au/consultations/current-and-closed-consultations/primary-frequency-response-requirements-document-consultation</vt:lpwstr>
      </vt:variant>
      <vt:variant>
        <vt:lpwstr/>
      </vt:variant>
      <vt:variant>
        <vt:i4>458771</vt:i4>
      </vt:variant>
      <vt:variant>
        <vt:i4>36</vt:i4>
      </vt:variant>
      <vt:variant>
        <vt:i4>0</vt:i4>
      </vt:variant>
      <vt:variant>
        <vt:i4>5</vt:i4>
      </vt:variant>
      <vt:variant>
        <vt:lpwstr>https://aemo.com.au/consultations/current-and-closed-consultations/primary-frequency-response-requirements-document-consultation</vt:lpwstr>
      </vt:variant>
      <vt:variant>
        <vt:lpwstr/>
      </vt:variant>
      <vt:variant>
        <vt:i4>458771</vt:i4>
      </vt:variant>
      <vt:variant>
        <vt:i4>30</vt:i4>
      </vt:variant>
      <vt:variant>
        <vt:i4>0</vt:i4>
      </vt:variant>
      <vt:variant>
        <vt:i4>5</vt:i4>
      </vt:variant>
      <vt:variant>
        <vt:lpwstr>https://aemo.com.au/consultations/current-and-closed-consultations/primary-frequency-response-requirements-document-consultation</vt:lpwstr>
      </vt:variant>
      <vt:variant>
        <vt:lpwstr/>
      </vt:variant>
      <vt:variant>
        <vt:i4>458771</vt:i4>
      </vt:variant>
      <vt:variant>
        <vt:i4>27</vt:i4>
      </vt:variant>
      <vt:variant>
        <vt:i4>0</vt:i4>
      </vt:variant>
      <vt:variant>
        <vt:i4>5</vt:i4>
      </vt:variant>
      <vt:variant>
        <vt:lpwstr>https://aemo.com.au/consultations/current-and-closed-consultations/primary-frequency-response-requirements-document-consultation</vt:lpwstr>
      </vt:variant>
      <vt:variant>
        <vt:lpwstr/>
      </vt:variant>
      <vt:variant>
        <vt:i4>2818058</vt:i4>
      </vt:variant>
      <vt:variant>
        <vt:i4>24</vt:i4>
      </vt:variant>
      <vt:variant>
        <vt:i4>0</vt:i4>
      </vt:variant>
      <vt:variant>
        <vt:i4>5</vt:i4>
      </vt:variant>
      <vt:variant>
        <vt:lpwstr>https://aemo.com.au/-/media/files/electricity/nem/security_and_reliability/ancillary_services/market-ancillary-service-specification-v50--effective-30-july-2017.pdf?la=en</vt:lpwstr>
      </vt:variant>
      <vt:variant>
        <vt:lpwstr/>
      </vt:variant>
      <vt:variant>
        <vt:i4>458771</vt:i4>
      </vt:variant>
      <vt:variant>
        <vt:i4>21</vt:i4>
      </vt:variant>
      <vt:variant>
        <vt:i4>0</vt:i4>
      </vt:variant>
      <vt:variant>
        <vt:i4>5</vt:i4>
      </vt:variant>
      <vt:variant>
        <vt:lpwstr>https://aemo.com.au/consultations/current-and-closed-consultations/primary-frequency-response-requirements-document-consultation</vt:lpwstr>
      </vt:variant>
      <vt:variant>
        <vt:lpwstr/>
      </vt:variant>
      <vt:variant>
        <vt:i4>458771</vt:i4>
      </vt:variant>
      <vt:variant>
        <vt:i4>15</vt:i4>
      </vt:variant>
      <vt:variant>
        <vt:i4>0</vt:i4>
      </vt:variant>
      <vt:variant>
        <vt:i4>5</vt:i4>
      </vt:variant>
      <vt:variant>
        <vt:lpwstr>https://aemo.com.au/consultations/current-and-closed-consultations/primary-frequency-response-requirements-document-consultation</vt:lpwstr>
      </vt:variant>
      <vt:variant>
        <vt:lpwstr/>
      </vt:variant>
      <vt:variant>
        <vt:i4>458771</vt:i4>
      </vt:variant>
      <vt:variant>
        <vt:i4>12</vt:i4>
      </vt:variant>
      <vt:variant>
        <vt:i4>0</vt:i4>
      </vt:variant>
      <vt:variant>
        <vt:i4>5</vt:i4>
      </vt:variant>
      <vt:variant>
        <vt:lpwstr>https://aemo.com.au/consultations/current-and-closed-consultations/primary-frequency-response-requirements-document-consultation</vt:lpwstr>
      </vt:variant>
      <vt:variant>
        <vt:lpwstr/>
      </vt:variant>
      <vt:variant>
        <vt:i4>458771</vt:i4>
      </vt:variant>
      <vt:variant>
        <vt:i4>9</vt:i4>
      </vt:variant>
      <vt:variant>
        <vt:i4>0</vt:i4>
      </vt:variant>
      <vt:variant>
        <vt:i4>5</vt:i4>
      </vt:variant>
      <vt:variant>
        <vt:lpwstr>https://aemo.com.au/consultations/current-and-closed-consultations/primary-frequency-response-requirements-document-consultation</vt:lpwstr>
      </vt:variant>
      <vt:variant>
        <vt:lpwstr/>
      </vt:variant>
      <vt:variant>
        <vt:i4>458771</vt:i4>
      </vt:variant>
      <vt:variant>
        <vt:i4>6</vt:i4>
      </vt:variant>
      <vt:variant>
        <vt:i4>0</vt:i4>
      </vt:variant>
      <vt:variant>
        <vt:i4>5</vt:i4>
      </vt:variant>
      <vt:variant>
        <vt:lpwstr>https://aemo.com.au/consultations/current-and-closed-consultations/primary-frequency-response-requirements-document-consultation</vt:lpwstr>
      </vt:variant>
      <vt:variant>
        <vt:lpwstr/>
      </vt:variant>
      <vt:variant>
        <vt:i4>1966100</vt:i4>
      </vt:variant>
      <vt:variant>
        <vt:i4>3</vt:i4>
      </vt:variant>
      <vt:variant>
        <vt:i4>0</vt:i4>
      </vt:variant>
      <vt:variant>
        <vt:i4>5</vt:i4>
      </vt:variant>
      <vt:variant>
        <vt:lpwstr>https://www.aemc.gov.au/rule-changes/mandatory-primary-frequency-response</vt:lpwstr>
      </vt:variant>
      <vt:variant>
        <vt:lpwstr/>
      </vt:variant>
      <vt:variant>
        <vt:i4>1966100</vt:i4>
      </vt:variant>
      <vt:variant>
        <vt:i4>0</vt:i4>
      </vt:variant>
      <vt:variant>
        <vt:i4>0</vt:i4>
      </vt:variant>
      <vt:variant>
        <vt:i4>5</vt:i4>
      </vt:variant>
      <vt:variant>
        <vt:lpwstr>https://www.aemc.gov.au/rule-changes/mandatory-primary-frequency-response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Groom</dc:creator>
  <cp:keywords/>
  <dc:description/>
  <cp:lastModifiedBy>Felicity Bodger</cp:lastModifiedBy>
  <cp:revision>2</cp:revision>
  <dcterms:created xsi:type="dcterms:W3CDTF">2020-07-20T07:02:00Z</dcterms:created>
  <dcterms:modified xsi:type="dcterms:W3CDTF">2020-07-20T07:02:00Z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0x0101009BE89D58CAF0934CA32A20BCFFD353DC0058F3B1559414874F945054FB97EB8423</vt:lpwstr>
  </property>
  <property fmtid="{D5CDD505-2E9C-101B-9397-08002B2CF9AE}" pid="3" name="AEMODocumentType">
    <vt:lpwstr>1;#Operational Record|859762f2-4462-42eb-9744-c955c7e2c540</vt:lpwstr>
  </property>
  <property fmtid="{D5CDD505-2E9C-101B-9397-08002B2CF9AE}" pid="4" name="_dlc_DocIdItemGuid">
    <vt:lpwstr>bc990f9c-f843-43bc-b219-ac716b236806</vt:lpwstr>
  </property>
  <property fmtid="{D5CDD505-2E9C-101B-9397-08002B2CF9AE}" pid="5" name="AEMOKeywords">
    <vt:lpwstr/>
  </property>
</Properties>
</file>