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6D4D4" w14:textId="77777777" w:rsidR="00291E73" w:rsidRDefault="003E3966">
      <w:r>
        <w:t xml:space="preserve"> </w:t>
      </w:r>
    </w:p>
    <w:p w14:paraId="213FA508" w14:textId="77777777" w:rsidR="009105C4" w:rsidRDefault="009105C4"/>
    <w:p w14:paraId="21AAD97B" w14:textId="77777777" w:rsidR="009105C4" w:rsidRDefault="009105C4"/>
    <w:p w14:paraId="326618A7" w14:textId="77777777" w:rsidR="009105C4" w:rsidRDefault="009105C4"/>
    <w:p w14:paraId="11CC97C3" w14:textId="77777777" w:rsidR="009105C4" w:rsidRDefault="009105C4"/>
    <w:p w14:paraId="70E6C630" w14:textId="77777777" w:rsidR="009105C4" w:rsidRDefault="009105C4"/>
    <w:tbl>
      <w:tblPr>
        <w:tblW w:w="9643"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3"/>
      </w:tblGrid>
      <w:tr w:rsidR="009105C4" w:rsidRPr="009105C4" w14:paraId="38B39503" w14:textId="77777777" w:rsidTr="00663146">
        <w:trPr>
          <w:trHeight w:val="576"/>
        </w:trPr>
        <w:tc>
          <w:tcPr>
            <w:tcW w:w="9643" w:type="dxa"/>
            <w:shd w:val="clear" w:color="auto" w:fill="auto"/>
            <w:vAlign w:val="center"/>
          </w:tcPr>
          <w:p w14:paraId="604E2209" w14:textId="77777777" w:rsidR="009105C4" w:rsidRPr="0060203D" w:rsidRDefault="005A1E2A" w:rsidP="004D6F13">
            <w:pPr>
              <w:jc w:val="center"/>
              <w:rPr>
                <w:rStyle w:val="StyleLatinArial11ptBoldCustomColorRGB3173125"/>
              </w:rPr>
            </w:pPr>
            <w:r>
              <w:rPr>
                <w:rFonts w:ascii="Arial" w:hAnsi="Arial" w:cs="Arial"/>
                <w:b/>
                <w:sz w:val="22"/>
                <w:szCs w:val="22"/>
              </w:rPr>
              <w:t xml:space="preserve"> </w:t>
            </w:r>
            <w:r w:rsidR="009105C4" w:rsidRPr="0060203D">
              <w:rPr>
                <w:rStyle w:val="StyleLatinArial11ptBoldCustomColorRGB3173125"/>
              </w:rPr>
              <w:t>IMPACT &amp; IMPLEMENTATION REPORT – SUMMARY SECTION</w:t>
            </w:r>
          </w:p>
          <w:p w14:paraId="307CA430" w14:textId="77777777" w:rsidR="0044121F" w:rsidRPr="004D6F13" w:rsidRDefault="0044121F" w:rsidP="004D6F13">
            <w:pPr>
              <w:jc w:val="center"/>
              <w:rPr>
                <w:rFonts w:ascii="Arial" w:hAnsi="Arial" w:cs="Arial"/>
                <w:b/>
                <w:sz w:val="22"/>
                <w:szCs w:val="22"/>
              </w:rPr>
            </w:pPr>
            <w:r w:rsidRPr="00663146">
              <w:rPr>
                <w:rFonts w:ascii="Arial" w:hAnsi="Arial" w:cs="Arial"/>
                <w:b/>
                <w:i/>
                <w:color w:val="1F497D"/>
                <w:sz w:val="18"/>
                <w:szCs w:val="18"/>
              </w:rPr>
              <w:t>(For AEMO to complete and administer)</w:t>
            </w:r>
          </w:p>
        </w:tc>
      </w:tr>
    </w:tbl>
    <w:p w14:paraId="5C686A2E" w14:textId="77777777" w:rsidR="00F217C4" w:rsidRDefault="00F217C4"/>
    <w:tbl>
      <w:tblPr>
        <w:tblW w:w="9643"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66"/>
        <w:gridCol w:w="2320"/>
        <w:gridCol w:w="2432"/>
        <w:gridCol w:w="114"/>
        <w:gridCol w:w="2311"/>
      </w:tblGrid>
      <w:tr w:rsidR="00D61D0B" w:rsidRPr="00663146" w14:paraId="585BA71C" w14:textId="77777777" w:rsidTr="001A1FB4">
        <w:trPr>
          <w:trHeight w:val="57"/>
        </w:trPr>
        <w:tc>
          <w:tcPr>
            <w:tcW w:w="2466" w:type="dxa"/>
            <w:shd w:val="clear" w:color="auto" w:fill="auto"/>
          </w:tcPr>
          <w:p w14:paraId="2CBE5B9A" w14:textId="77777777" w:rsidR="00D61D0B" w:rsidRPr="0060203D" w:rsidRDefault="00D61D0B" w:rsidP="001A1FB4">
            <w:pPr>
              <w:rPr>
                <w:rStyle w:val="StyleLatinArial11ptBoldCustomColorRGB3173125"/>
              </w:rPr>
            </w:pPr>
            <w:r w:rsidRPr="0060203D">
              <w:rPr>
                <w:rStyle w:val="StyleLatinArial11ptBoldCustomColorRGB3173125"/>
              </w:rPr>
              <w:t>Issue Number</w:t>
            </w:r>
          </w:p>
        </w:tc>
        <w:tc>
          <w:tcPr>
            <w:tcW w:w="7177" w:type="dxa"/>
            <w:gridSpan w:val="4"/>
            <w:shd w:val="clear" w:color="auto" w:fill="auto"/>
          </w:tcPr>
          <w:p w14:paraId="1DCCE436" w14:textId="2DFDA6B9" w:rsidR="00D61D0B" w:rsidRPr="001A1FB4" w:rsidRDefault="00D61D0B" w:rsidP="002304C0">
            <w:pPr>
              <w:rPr>
                <w:rFonts w:ascii="Arial" w:hAnsi="Arial" w:cs="Arial"/>
                <w:sz w:val="22"/>
                <w:szCs w:val="22"/>
              </w:rPr>
            </w:pPr>
            <w:r w:rsidRPr="001A1FB4">
              <w:rPr>
                <w:rFonts w:ascii="Arial" w:hAnsi="Arial" w:cs="Arial"/>
                <w:sz w:val="22"/>
                <w:szCs w:val="22"/>
              </w:rPr>
              <w:t xml:space="preserve"> </w:t>
            </w:r>
            <w:r w:rsidR="002304C0">
              <w:rPr>
                <w:rFonts w:ascii="Arial" w:hAnsi="Arial" w:cs="Arial"/>
                <w:sz w:val="22"/>
                <w:szCs w:val="22"/>
              </w:rPr>
              <w:t>DWGM</w:t>
            </w:r>
            <w:r w:rsidR="00950F94">
              <w:rPr>
                <w:rFonts w:ascii="Arial" w:hAnsi="Arial" w:cs="Arial"/>
                <w:sz w:val="22"/>
                <w:szCs w:val="22"/>
              </w:rPr>
              <w:t xml:space="preserve"> IIR 15-00</w:t>
            </w:r>
            <w:r w:rsidR="002304C0">
              <w:rPr>
                <w:rFonts w:ascii="Arial" w:hAnsi="Arial" w:cs="Arial"/>
                <w:sz w:val="22"/>
                <w:szCs w:val="22"/>
              </w:rPr>
              <w:t>3</w:t>
            </w:r>
          </w:p>
        </w:tc>
      </w:tr>
      <w:tr w:rsidR="009105C4" w:rsidRPr="00663146" w14:paraId="7011D536" w14:textId="77777777" w:rsidTr="001A1FB4">
        <w:trPr>
          <w:trHeight w:val="57"/>
        </w:trPr>
        <w:tc>
          <w:tcPr>
            <w:tcW w:w="2466" w:type="dxa"/>
            <w:shd w:val="clear" w:color="auto" w:fill="auto"/>
          </w:tcPr>
          <w:p w14:paraId="4F26BF8D" w14:textId="77777777" w:rsidR="009105C4" w:rsidRPr="0060203D" w:rsidRDefault="009105C4" w:rsidP="001A1FB4">
            <w:pPr>
              <w:rPr>
                <w:rStyle w:val="StyleLatinArial11ptBoldCustomColorRGB3173125"/>
              </w:rPr>
            </w:pPr>
            <w:r w:rsidRPr="0060203D">
              <w:rPr>
                <w:rStyle w:val="StyleLatinArial11ptBoldCustomColorRGB3173125"/>
              </w:rPr>
              <w:t>Proponent</w:t>
            </w:r>
          </w:p>
        </w:tc>
        <w:tc>
          <w:tcPr>
            <w:tcW w:w="2320" w:type="dxa"/>
            <w:shd w:val="clear" w:color="auto" w:fill="auto"/>
          </w:tcPr>
          <w:p w14:paraId="1C8F7105" w14:textId="77777777" w:rsidR="009105C4" w:rsidRPr="001A1FB4" w:rsidRDefault="00AE5BCF" w:rsidP="001A1FB4">
            <w:pPr>
              <w:rPr>
                <w:rFonts w:ascii="Arial" w:hAnsi="Arial" w:cs="Arial"/>
                <w:sz w:val="22"/>
                <w:szCs w:val="22"/>
              </w:rPr>
            </w:pPr>
            <w:r w:rsidRPr="001A1FB4">
              <w:rPr>
                <w:rFonts w:ascii="Arial" w:hAnsi="Arial" w:cs="Arial"/>
                <w:sz w:val="22"/>
                <w:szCs w:val="22"/>
              </w:rPr>
              <w:t>AEMO</w:t>
            </w:r>
          </w:p>
        </w:tc>
        <w:tc>
          <w:tcPr>
            <w:tcW w:w="2432" w:type="dxa"/>
            <w:shd w:val="clear" w:color="auto" w:fill="auto"/>
          </w:tcPr>
          <w:p w14:paraId="45EF9CC4" w14:textId="77777777" w:rsidR="009105C4" w:rsidRPr="0060203D" w:rsidRDefault="00DC47AA" w:rsidP="001A1FB4">
            <w:pPr>
              <w:rPr>
                <w:rStyle w:val="StyleLatinArial11ptBoldCustomColorRGB3173125"/>
              </w:rPr>
            </w:pPr>
            <w:r w:rsidRPr="0060203D">
              <w:rPr>
                <w:rStyle w:val="StyleLatinArial11ptBoldCustomColorRGB3173125"/>
              </w:rPr>
              <w:t xml:space="preserve">Date of </w:t>
            </w:r>
            <w:r w:rsidR="00E61AF0" w:rsidRPr="0060203D">
              <w:rPr>
                <w:rStyle w:val="StyleLatinArial11ptBoldCustomColorRGB3173125"/>
              </w:rPr>
              <w:t>s</w:t>
            </w:r>
            <w:r w:rsidRPr="0060203D">
              <w:rPr>
                <w:rStyle w:val="StyleLatinArial11ptBoldCustomColorRGB3173125"/>
              </w:rPr>
              <w:t>ubmission</w:t>
            </w:r>
          </w:p>
        </w:tc>
        <w:tc>
          <w:tcPr>
            <w:tcW w:w="2425" w:type="dxa"/>
            <w:gridSpan w:val="2"/>
            <w:shd w:val="clear" w:color="auto" w:fill="auto"/>
          </w:tcPr>
          <w:p w14:paraId="145DDDC7" w14:textId="77777777" w:rsidR="009105C4" w:rsidRPr="001A1FB4" w:rsidRDefault="00EE1A94" w:rsidP="001A1FB4">
            <w:pPr>
              <w:rPr>
                <w:rFonts w:ascii="Arial" w:hAnsi="Arial" w:cs="Arial"/>
                <w:sz w:val="22"/>
                <w:szCs w:val="22"/>
              </w:rPr>
            </w:pPr>
            <w:r>
              <w:rPr>
                <w:rFonts w:ascii="Arial" w:hAnsi="Arial" w:cs="Arial"/>
                <w:sz w:val="22"/>
                <w:szCs w:val="22"/>
              </w:rPr>
              <w:t>NA</w:t>
            </w:r>
          </w:p>
        </w:tc>
      </w:tr>
      <w:tr w:rsidR="0072626B" w:rsidRPr="00663146" w14:paraId="0137F13B" w14:textId="77777777" w:rsidTr="001A1FB4">
        <w:trPr>
          <w:trHeight w:val="57"/>
        </w:trPr>
        <w:tc>
          <w:tcPr>
            <w:tcW w:w="2466" w:type="dxa"/>
            <w:shd w:val="clear" w:color="auto" w:fill="auto"/>
          </w:tcPr>
          <w:p w14:paraId="772D621D" w14:textId="77777777" w:rsidR="00D41664" w:rsidRPr="0060203D" w:rsidRDefault="00D61D0B" w:rsidP="001A1FB4">
            <w:pPr>
              <w:rPr>
                <w:rStyle w:val="StyleLatinArial11ptBoldCustomColorRGB3173125"/>
              </w:rPr>
            </w:pPr>
            <w:r w:rsidRPr="0060203D">
              <w:rPr>
                <w:rStyle w:val="StyleLatinArial11ptBoldCustomColorRGB3173125"/>
              </w:rPr>
              <w:t xml:space="preserve">Affected </w:t>
            </w:r>
            <w:r w:rsidR="00DC47AA" w:rsidRPr="0060203D">
              <w:rPr>
                <w:rStyle w:val="StyleLatinArial11ptBoldCustomColorRGB3173125"/>
              </w:rPr>
              <w:t>gas markets</w:t>
            </w:r>
            <w:r w:rsidR="0072626B" w:rsidRPr="0060203D">
              <w:rPr>
                <w:rStyle w:val="StyleLatinArial11ptBoldCustomColorRGB3173125"/>
              </w:rPr>
              <w:t xml:space="preserve"> </w:t>
            </w:r>
          </w:p>
        </w:tc>
        <w:tc>
          <w:tcPr>
            <w:tcW w:w="2320" w:type="dxa"/>
            <w:tcBorders>
              <w:bottom w:val="single" w:sz="4" w:space="0" w:color="auto"/>
            </w:tcBorders>
            <w:shd w:val="clear" w:color="auto" w:fill="auto"/>
          </w:tcPr>
          <w:p w14:paraId="2319E926" w14:textId="77777777" w:rsidR="00A76290" w:rsidRPr="001A1FB4" w:rsidRDefault="00A76290" w:rsidP="001A1FB4">
            <w:pPr>
              <w:rPr>
                <w:rFonts w:ascii="Arial" w:hAnsi="Arial" w:cs="Arial"/>
                <w:sz w:val="22"/>
                <w:szCs w:val="22"/>
              </w:rPr>
            </w:pPr>
            <w:r w:rsidRPr="001A1FB4">
              <w:rPr>
                <w:rFonts w:ascii="Arial" w:hAnsi="Arial" w:cs="Arial"/>
                <w:sz w:val="22"/>
                <w:szCs w:val="22"/>
              </w:rPr>
              <w:t>DWGM</w:t>
            </w:r>
          </w:p>
        </w:tc>
        <w:tc>
          <w:tcPr>
            <w:tcW w:w="2432" w:type="dxa"/>
            <w:tcBorders>
              <w:bottom w:val="single" w:sz="4" w:space="0" w:color="auto"/>
            </w:tcBorders>
            <w:shd w:val="clear" w:color="auto" w:fill="auto"/>
          </w:tcPr>
          <w:p w14:paraId="34121EF6" w14:textId="77777777" w:rsidR="0072626B" w:rsidRPr="0060203D" w:rsidRDefault="0072626B" w:rsidP="001A1FB4">
            <w:pPr>
              <w:rPr>
                <w:rStyle w:val="StyleLatinArial11ptBoldCustomColorRGB3173125"/>
              </w:rPr>
            </w:pPr>
            <w:r w:rsidRPr="0060203D">
              <w:rPr>
                <w:rStyle w:val="StyleLatinArial11ptBoldCustomColorRGB3173125"/>
              </w:rPr>
              <w:t>Consultation process (Ordinary or Expedited)</w:t>
            </w:r>
          </w:p>
        </w:tc>
        <w:tc>
          <w:tcPr>
            <w:tcW w:w="2425" w:type="dxa"/>
            <w:gridSpan w:val="2"/>
            <w:tcBorders>
              <w:bottom w:val="single" w:sz="4" w:space="0" w:color="auto"/>
            </w:tcBorders>
            <w:shd w:val="clear" w:color="auto" w:fill="auto"/>
          </w:tcPr>
          <w:p w14:paraId="363A9A23" w14:textId="77777777" w:rsidR="0072626B" w:rsidRPr="001A1FB4" w:rsidRDefault="00AE5BCF" w:rsidP="001A1FB4">
            <w:pPr>
              <w:rPr>
                <w:rFonts w:ascii="Arial" w:hAnsi="Arial" w:cs="Arial"/>
                <w:sz w:val="22"/>
                <w:szCs w:val="22"/>
              </w:rPr>
            </w:pPr>
            <w:r w:rsidRPr="001A1FB4">
              <w:rPr>
                <w:rFonts w:ascii="Arial" w:hAnsi="Arial" w:cs="Arial"/>
                <w:sz w:val="22"/>
                <w:szCs w:val="22"/>
              </w:rPr>
              <w:t>Ordinary</w:t>
            </w:r>
          </w:p>
        </w:tc>
      </w:tr>
      <w:tr w:rsidR="009105C4" w:rsidRPr="00663146" w14:paraId="3192F55C" w14:textId="77777777" w:rsidTr="001A1FB4">
        <w:trPr>
          <w:trHeight w:val="57"/>
        </w:trPr>
        <w:tc>
          <w:tcPr>
            <w:tcW w:w="2466" w:type="dxa"/>
            <w:shd w:val="clear" w:color="auto" w:fill="auto"/>
          </w:tcPr>
          <w:p w14:paraId="5A2E26F8" w14:textId="77777777" w:rsidR="009105C4" w:rsidRPr="0060203D" w:rsidRDefault="009105C4" w:rsidP="001A1FB4">
            <w:pPr>
              <w:rPr>
                <w:rStyle w:val="StyleLatinArial11ptBoldCustomColorRGB3173125"/>
              </w:rPr>
            </w:pPr>
            <w:r w:rsidRPr="0060203D">
              <w:rPr>
                <w:rStyle w:val="StyleLatinArial11ptBoldCustomColorRGB3173125"/>
              </w:rPr>
              <w:t xml:space="preserve">Industry </w:t>
            </w:r>
            <w:r w:rsidR="00DC47AA" w:rsidRPr="0060203D">
              <w:rPr>
                <w:rStyle w:val="StyleLatinArial11ptBoldCustomColorRGB3173125"/>
              </w:rPr>
              <w:t xml:space="preserve">consultative </w:t>
            </w:r>
            <w:r w:rsidRPr="0060203D">
              <w:rPr>
                <w:rStyle w:val="StyleLatinArial11ptBoldCustomColorRGB3173125"/>
              </w:rPr>
              <w:t>forum</w:t>
            </w:r>
            <w:r w:rsidR="00DC47AA" w:rsidRPr="0060203D">
              <w:rPr>
                <w:rStyle w:val="StyleLatinArial11ptBoldCustomColorRGB3173125"/>
              </w:rPr>
              <w:t>s</w:t>
            </w:r>
            <w:r w:rsidRPr="0060203D">
              <w:rPr>
                <w:rStyle w:val="StyleLatinArial11ptBoldCustomColorRGB3173125"/>
              </w:rPr>
              <w:t xml:space="preserve"> used</w:t>
            </w:r>
          </w:p>
        </w:tc>
        <w:tc>
          <w:tcPr>
            <w:tcW w:w="2320" w:type="dxa"/>
            <w:tcBorders>
              <w:bottom w:val="single" w:sz="4" w:space="0" w:color="auto"/>
            </w:tcBorders>
            <w:shd w:val="clear" w:color="auto" w:fill="auto"/>
          </w:tcPr>
          <w:p w14:paraId="3799DD53" w14:textId="77777777" w:rsidR="009105C4" w:rsidRPr="001A1FB4" w:rsidRDefault="00AE5BCF" w:rsidP="001A1FB4">
            <w:pPr>
              <w:rPr>
                <w:rFonts w:ascii="Arial" w:hAnsi="Arial" w:cs="Arial"/>
                <w:sz w:val="22"/>
                <w:szCs w:val="22"/>
              </w:rPr>
            </w:pPr>
            <w:r w:rsidRPr="001A1FB4">
              <w:rPr>
                <w:rFonts w:ascii="Arial" w:hAnsi="Arial" w:cs="Arial"/>
                <w:sz w:val="22"/>
                <w:szCs w:val="22"/>
              </w:rPr>
              <w:t>Gas Wholesale Consultative Forum</w:t>
            </w:r>
          </w:p>
        </w:tc>
        <w:tc>
          <w:tcPr>
            <w:tcW w:w="2432" w:type="dxa"/>
            <w:tcBorders>
              <w:bottom w:val="single" w:sz="4" w:space="0" w:color="auto"/>
            </w:tcBorders>
            <w:shd w:val="clear" w:color="auto" w:fill="auto"/>
          </w:tcPr>
          <w:p w14:paraId="24CC874E" w14:textId="77777777" w:rsidR="009105C4" w:rsidRPr="0060203D" w:rsidRDefault="009105C4" w:rsidP="001A1FB4">
            <w:pPr>
              <w:rPr>
                <w:rStyle w:val="StyleLatinArial11ptBoldCustomColorRGB3173125"/>
              </w:rPr>
            </w:pPr>
            <w:r w:rsidRPr="0060203D">
              <w:rPr>
                <w:rStyle w:val="StyleLatinArial11ptBoldCustomColorRGB3173125"/>
              </w:rPr>
              <w:t xml:space="preserve">Date </w:t>
            </w:r>
            <w:r w:rsidR="00DC47AA" w:rsidRPr="0060203D">
              <w:rPr>
                <w:rStyle w:val="StyleLatinArial11ptBoldCustomColorRGB3173125"/>
              </w:rPr>
              <w:t>i</w:t>
            </w:r>
            <w:r w:rsidRPr="0060203D">
              <w:rPr>
                <w:rStyle w:val="StyleLatinArial11ptBoldCustomColorRGB3173125"/>
              </w:rPr>
              <w:t>ndustry</w:t>
            </w:r>
            <w:r w:rsidR="00D61D0B" w:rsidRPr="0060203D">
              <w:rPr>
                <w:rStyle w:val="StyleLatinArial11ptBoldCustomColorRGB3173125"/>
              </w:rPr>
              <w:t xml:space="preserve"> </w:t>
            </w:r>
            <w:r w:rsidR="00DC47AA" w:rsidRPr="0060203D">
              <w:rPr>
                <w:rStyle w:val="StyleLatinArial11ptBoldCustomColorRGB3173125"/>
              </w:rPr>
              <w:t>c</w:t>
            </w:r>
            <w:r w:rsidR="00D61D0B" w:rsidRPr="0060203D">
              <w:rPr>
                <w:rStyle w:val="StyleLatinArial11ptBoldCustomColorRGB3173125"/>
              </w:rPr>
              <w:t>onsultative</w:t>
            </w:r>
            <w:r w:rsidRPr="0060203D">
              <w:rPr>
                <w:rStyle w:val="StyleLatinArial11ptBoldCustomColorRGB3173125"/>
              </w:rPr>
              <w:t xml:space="preserve"> </w:t>
            </w:r>
            <w:r w:rsidR="0072626B" w:rsidRPr="0060203D">
              <w:rPr>
                <w:rStyle w:val="StyleLatinArial11ptBoldCustomColorRGB3173125"/>
              </w:rPr>
              <w:t>forum</w:t>
            </w:r>
            <w:r w:rsidR="00D61D0B" w:rsidRPr="0060203D">
              <w:rPr>
                <w:rStyle w:val="StyleLatinArial11ptBoldCustomColorRGB3173125"/>
              </w:rPr>
              <w:t>s</w:t>
            </w:r>
            <w:r w:rsidR="00DC47AA" w:rsidRPr="0060203D">
              <w:rPr>
                <w:rStyle w:val="StyleLatinArial11ptBoldCustomColorRGB3173125"/>
              </w:rPr>
              <w:t xml:space="preserve"> </w:t>
            </w:r>
            <w:r w:rsidR="0072626B" w:rsidRPr="0060203D">
              <w:rPr>
                <w:rStyle w:val="StyleLatinArial11ptBoldCustomColorRGB3173125"/>
              </w:rPr>
              <w:t>c</w:t>
            </w:r>
            <w:r w:rsidRPr="0060203D">
              <w:rPr>
                <w:rStyle w:val="StyleLatinArial11ptBoldCustomColorRGB3173125"/>
              </w:rPr>
              <w:t>onsultation concluded</w:t>
            </w:r>
          </w:p>
        </w:tc>
        <w:tc>
          <w:tcPr>
            <w:tcW w:w="2425" w:type="dxa"/>
            <w:gridSpan w:val="2"/>
            <w:tcBorders>
              <w:bottom w:val="single" w:sz="4" w:space="0" w:color="auto"/>
            </w:tcBorders>
            <w:shd w:val="clear" w:color="auto" w:fill="auto"/>
          </w:tcPr>
          <w:p w14:paraId="556F801E" w14:textId="77777777" w:rsidR="009105C4" w:rsidRPr="001A1FB4" w:rsidRDefault="00AE5BCF" w:rsidP="001A1FB4">
            <w:pPr>
              <w:rPr>
                <w:rFonts w:ascii="Arial" w:hAnsi="Arial" w:cs="Arial"/>
                <w:sz w:val="22"/>
                <w:szCs w:val="22"/>
              </w:rPr>
            </w:pPr>
            <w:r w:rsidRPr="001A1FB4">
              <w:rPr>
                <w:rFonts w:ascii="Arial" w:hAnsi="Arial" w:cs="Arial"/>
                <w:sz w:val="22"/>
                <w:szCs w:val="22"/>
              </w:rPr>
              <w:t>11 August 2015</w:t>
            </w:r>
          </w:p>
        </w:tc>
      </w:tr>
      <w:tr w:rsidR="0072626B" w:rsidRPr="00663146" w14:paraId="7305CCD2" w14:textId="77777777" w:rsidTr="001A1FB4">
        <w:trPr>
          <w:trHeight w:val="57"/>
        </w:trPr>
        <w:tc>
          <w:tcPr>
            <w:tcW w:w="2466" w:type="dxa"/>
            <w:shd w:val="clear" w:color="auto" w:fill="auto"/>
          </w:tcPr>
          <w:p w14:paraId="6DDBAAED" w14:textId="77777777" w:rsidR="0072626B" w:rsidRPr="0060203D" w:rsidRDefault="0072626B" w:rsidP="001A1FB4">
            <w:pPr>
              <w:rPr>
                <w:rStyle w:val="StyleLatinArial11ptBoldCustomColorRGB3173125"/>
              </w:rPr>
            </w:pPr>
            <w:r w:rsidRPr="0060203D">
              <w:rPr>
                <w:rStyle w:val="StyleLatinArial11ptBoldCustomColorRGB3173125"/>
              </w:rPr>
              <w:t xml:space="preserve">Short </w:t>
            </w:r>
            <w:r w:rsidR="00DC47AA" w:rsidRPr="0060203D">
              <w:rPr>
                <w:rStyle w:val="StyleLatinArial11ptBoldCustomColorRGB3173125"/>
              </w:rPr>
              <w:t xml:space="preserve">description </w:t>
            </w:r>
            <w:r w:rsidR="00D61D0B" w:rsidRPr="0060203D">
              <w:rPr>
                <w:rStyle w:val="StyleLatinArial11ptBoldCustomColorRGB3173125"/>
              </w:rPr>
              <w:t>of change</w:t>
            </w:r>
          </w:p>
        </w:tc>
        <w:tc>
          <w:tcPr>
            <w:tcW w:w="7177" w:type="dxa"/>
            <w:gridSpan w:val="4"/>
            <w:shd w:val="clear" w:color="auto" w:fill="auto"/>
          </w:tcPr>
          <w:p w14:paraId="1F394481" w14:textId="25F3C2AA" w:rsidR="0072626B" w:rsidRPr="001A1FB4" w:rsidRDefault="00AE5BCF" w:rsidP="00172EC9">
            <w:pPr>
              <w:rPr>
                <w:rFonts w:ascii="Arial" w:hAnsi="Arial" w:cs="Arial"/>
                <w:sz w:val="22"/>
                <w:szCs w:val="22"/>
              </w:rPr>
            </w:pPr>
            <w:r w:rsidRPr="001A1FB4">
              <w:rPr>
                <w:rFonts w:ascii="Arial" w:hAnsi="Arial" w:cs="Arial"/>
                <w:sz w:val="22"/>
                <w:szCs w:val="22"/>
              </w:rPr>
              <w:t xml:space="preserve">Amend the formula for the average volume weighted market price in </w:t>
            </w:r>
            <w:r w:rsidR="001A1FB4" w:rsidRPr="001A1FB4">
              <w:rPr>
                <w:rFonts w:ascii="Arial" w:hAnsi="Arial" w:cs="Arial"/>
                <w:sz w:val="22"/>
                <w:szCs w:val="22"/>
              </w:rPr>
              <w:t xml:space="preserve">Wholesale </w:t>
            </w:r>
            <w:r w:rsidR="00172EC9">
              <w:rPr>
                <w:rFonts w:ascii="Arial" w:hAnsi="Arial" w:cs="Arial"/>
                <w:sz w:val="22"/>
                <w:szCs w:val="22"/>
              </w:rPr>
              <w:t>M</w:t>
            </w:r>
            <w:r w:rsidR="001A1FB4" w:rsidRPr="001A1FB4">
              <w:rPr>
                <w:rFonts w:ascii="Arial" w:hAnsi="Arial" w:cs="Arial"/>
                <w:sz w:val="22"/>
                <w:szCs w:val="22"/>
              </w:rPr>
              <w:t xml:space="preserve">arket </w:t>
            </w:r>
            <w:r w:rsidR="00172EC9">
              <w:rPr>
                <w:rFonts w:ascii="Arial" w:hAnsi="Arial" w:cs="Arial"/>
                <w:sz w:val="22"/>
                <w:szCs w:val="22"/>
              </w:rPr>
              <w:t>D</w:t>
            </w:r>
            <w:r w:rsidR="001A1FB4" w:rsidRPr="001A1FB4">
              <w:rPr>
                <w:rFonts w:ascii="Arial" w:hAnsi="Arial" w:cs="Arial"/>
                <w:sz w:val="22"/>
                <w:szCs w:val="22"/>
              </w:rPr>
              <w:t>istribution UAFG Procedures (Victoria)</w:t>
            </w:r>
            <w:r w:rsidRPr="001A1FB4">
              <w:rPr>
                <w:rFonts w:ascii="Arial" w:hAnsi="Arial" w:cs="Arial"/>
                <w:sz w:val="22"/>
                <w:szCs w:val="22"/>
              </w:rPr>
              <w:t>.</w:t>
            </w:r>
          </w:p>
        </w:tc>
      </w:tr>
      <w:tr w:rsidR="0072626B" w:rsidRPr="00663146" w14:paraId="35BD8DA6" w14:textId="77777777" w:rsidTr="001A1FB4">
        <w:trPr>
          <w:trHeight w:val="57"/>
        </w:trPr>
        <w:tc>
          <w:tcPr>
            <w:tcW w:w="2466" w:type="dxa"/>
            <w:shd w:val="clear" w:color="auto" w:fill="auto"/>
          </w:tcPr>
          <w:p w14:paraId="408F8AD3" w14:textId="77777777" w:rsidR="0072626B" w:rsidRPr="0060203D" w:rsidRDefault="0072626B" w:rsidP="001A1FB4">
            <w:pPr>
              <w:rPr>
                <w:rStyle w:val="StyleLatinArial11ptBoldCustomColorRGB3173125"/>
              </w:rPr>
            </w:pPr>
            <w:r w:rsidRPr="0060203D">
              <w:rPr>
                <w:rStyle w:val="StyleLatinArial11ptBoldCustomColorRGB3173125"/>
              </w:rPr>
              <w:t>Procedure</w:t>
            </w:r>
            <w:r w:rsidR="00DC47AA" w:rsidRPr="0060203D">
              <w:rPr>
                <w:rStyle w:val="StyleLatinArial11ptBoldCustomColorRGB3173125"/>
              </w:rPr>
              <w:t>s</w:t>
            </w:r>
            <w:r w:rsidRPr="0060203D">
              <w:rPr>
                <w:rStyle w:val="StyleLatinArial11ptBoldCustomColorRGB3173125"/>
              </w:rPr>
              <w:t xml:space="preserve"> or </w:t>
            </w:r>
            <w:r w:rsidR="00DC47AA" w:rsidRPr="0060203D">
              <w:rPr>
                <w:rStyle w:val="StyleLatinArial11ptBoldCustomColorRGB3173125"/>
              </w:rPr>
              <w:t xml:space="preserve">documentation </w:t>
            </w:r>
            <w:r w:rsidRPr="0060203D">
              <w:rPr>
                <w:rStyle w:val="StyleLatinArial11ptBoldCustomColorRGB3173125"/>
              </w:rPr>
              <w:t>impacted</w:t>
            </w:r>
          </w:p>
        </w:tc>
        <w:tc>
          <w:tcPr>
            <w:tcW w:w="7177" w:type="dxa"/>
            <w:gridSpan w:val="4"/>
            <w:shd w:val="clear" w:color="auto" w:fill="auto"/>
          </w:tcPr>
          <w:p w14:paraId="5DCDA847" w14:textId="244DAE50" w:rsidR="0072626B" w:rsidRPr="001A1FB4" w:rsidRDefault="001A1FB4" w:rsidP="00172EC9">
            <w:pPr>
              <w:rPr>
                <w:rFonts w:ascii="Arial" w:hAnsi="Arial" w:cs="Arial"/>
                <w:sz w:val="22"/>
                <w:szCs w:val="22"/>
              </w:rPr>
            </w:pPr>
            <w:r>
              <w:rPr>
                <w:rFonts w:ascii="Arial" w:hAnsi="Arial" w:cs="Arial"/>
                <w:sz w:val="22"/>
                <w:szCs w:val="22"/>
              </w:rPr>
              <w:t>W</w:t>
            </w:r>
            <w:r w:rsidR="00AE5BCF" w:rsidRPr="001A1FB4">
              <w:rPr>
                <w:rFonts w:ascii="Arial" w:hAnsi="Arial" w:cs="Arial"/>
                <w:sz w:val="22"/>
                <w:szCs w:val="22"/>
              </w:rPr>
              <w:t xml:space="preserve">holesale </w:t>
            </w:r>
            <w:r w:rsidR="00172EC9">
              <w:rPr>
                <w:rFonts w:ascii="Arial" w:hAnsi="Arial" w:cs="Arial"/>
                <w:sz w:val="22"/>
                <w:szCs w:val="22"/>
              </w:rPr>
              <w:t>M</w:t>
            </w:r>
            <w:r w:rsidR="00AE5BCF" w:rsidRPr="001A1FB4">
              <w:rPr>
                <w:rFonts w:ascii="Arial" w:hAnsi="Arial" w:cs="Arial"/>
                <w:sz w:val="22"/>
                <w:szCs w:val="22"/>
              </w:rPr>
              <w:t xml:space="preserve">arket </w:t>
            </w:r>
            <w:r w:rsidR="00172EC9">
              <w:rPr>
                <w:rFonts w:ascii="Arial" w:hAnsi="Arial" w:cs="Arial"/>
                <w:sz w:val="22"/>
                <w:szCs w:val="22"/>
              </w:rPr>
              <w:t>D</w:t>
            </w:r>
            <w:r w:rsidR="00AE5BCF" w:rsidRPr="001A1FB4">
              <w:rPr>
                <w:rFonts w:ascii="Arial" w:hAnsi="Arial" w:cs="Arial"/>
                <w:sz w:val="22"/>
                <w:szCs w:val="22"/>
              </w:rPr>
              <w:t>istribution UAFG Procedures (Victoria)</w:t>
            </w:r>
          </w:p>
        </w:tc>
      </w:tr>
      <w:tr w:rsidR="00525A8F" w:rsidRPr="00663146" w14:paraId="04CD9AF9" w14:textId="77777777" w:rsidTr="001A1FB4">
        <w:trPr>
          <w:trHeight w:val="57"/>
        </w:trPr>
        <w:tc>
          <w:tcPr>
            <w:tcW w:w="2466" w:type="dxa"/>
            <w:shd w:val="clear" w:color="auto" w:fill="auto"/>
          </w:tcPr>
          <w:p w14:paraId="43EFFBB0" w14:textId="77777777" w:rsidR="00525A8F" w:rsidRPr="0060203D" w:rsidRDefault="00525A8F" w:rsidP="001A1FB4">
            <w:pPr>
              <w:rPr>
                <w:rStyle w:val="StyleLatinArial11ptBoldCustomColorRGB3173125"/>
              </w:rPr>
            </w:pPr>
            <w:r w:rsidRPr="0060203D" w:rsidDel="00CB5FB4">
              <w:rPr>
                <w:rStyle w:val="StyleLatinArial11ptBoldCustomColorRGB3173125"/>
              </w:rPr>
              <w:t>Date I&amp;IR published</w:t>
            </w:r>
          </w:p>
        </w:tc>
        <w:tc>
          <w:tcPr>
            <w:tcW w:w="2320" w:type="dxa"/>
            <w:shd w:val="clear" w:color="auto" w:fill="auto"/>
          </w:tcPr>
          <w:p w14:paraId="6897555E" w14:textId="16F5AC68" w:rsidR="00525A8F" w:rsidRPr="001A1FB4" w:rsidRDefault="00950F94" w:rsidP="00950F94">
            <w:pPr>
              <w:rPr>
                <w:rFonts w:ascii="Arial" w:hAnsi="Arial" w:cs="Arial"/>
                <w:sz w:val="22"/>
                <w:szCs w:val="22"/>
              </w:rPr>
            </w:pPr>
            <w:r>
              <w:rPr>
                <w:rFonts w:ascii="Arial" w:hAnsi="Arial" w:cs="Arial"/>
                <w:sz w:val="22"/>
                <w:szCs w:val="22"/>
              </w:rPr>
              <w:t>1 October</w:t>
            </w:r>
            <w:r w:rsidR="00EE1A94">
              <w:rPr>
                <w:rFonts w:ascii="Arial" w:hAnsi="Arial" w:cs="Arial"/>
                <w:sz w:val="22"/>
                <w:szCs w:val="22"/>
              </w:rPr>
              <w:t xml:space="preserve"> 2015</w:t>
            </w:r>
          </w:p>
        </w:tc>
        <w:tc>
          <w:tcPr>
            <w:tcW w:w="2546" w:type="dxa"/>
            <w:gridSpan w:val="2"/>
            <w:tcBorders>
              <w:bottom w:val="single" w:sz="4" w:space="0" w:color="auto"/>
            </w:tcBorders>
            <w:shd w:val="clear" w:color="auto" w:fill="auto"/>
          </w:tcPr>
          <w:p w14:paraId="10B2ED77" w14:textId="661E1817" w:rsidR="00525A8F" w:rsidRPr="0060203D" w:rsidRDefault="00525A8F" w:rsidP="00950F94">
            <w:pPr>
              <w:rPr>
                <w:rStyle w:val="StyleLatinArial11ptBoldCustomColorRGB3173125"/>
              </w:rPr>
            </w:pPr>
            <w:r w:rsidRPr="0060203D">
              <w:rPr>
                <w:rStyle w:val="StyleLatinArial11ptBoldCustomColorRGB3173125"/>
              </w:rPr>
              <w:t xml:space="preserve">Date </w:t>
            </w:r>
            <w:r w:rsidR="00336C20" w:rsidRPr="0060203D">
              <w:rPr>
                <w:rStyle w:val="StyleLatinArial11ptBoldCustomColorRGB3173125"/>
              </w:rPr>
              <w:t>c</w:t>
            </w:r>
            <w:r w:rsidRPr="0060203D">
              <w:rPr>
                <w:rStyle w:val="StyleLatinArial11ptBoldCustomColorRGB3173125"/>
              </w:rPr>
              <w:t>onsultation under 135EE concludes</w:t>
            </w:r>
          </w:p>
        </w:tc>
        <w:tc>
          <w:tcPr>
            <w:tcW w:w="2311" w:type="dxa"/>
            <w:tcBorders>
              <w:bottom w:val="single" w:sz="4" w:space="0" w:color="auto"/>
            </w:tcBorders>
            <w:shd w:val="clear" w:color="auto" w:fill="auto"/>
          </w:tcPr>
          <w:p w14:paraId="3B4C9A70" w14:textId="55ECD4BE" w:rsidR="00525A8F" w:rsidRPr="001A1FB4" w:rsidRDefault="00950F94" w:rsidP="001A1FB4">
            <w:pPr>
              <w:rPr>
                <w:rFonts w:ascii="Arial" w:hAnsi="Arial" w:cs="Arial"/>
                <w:sz w:val="22"/>
                <w:szCs w:val="22"/>
              </w:rPr>
            </w:pPr>
            <w:r>
              <w:rPr>
                <w:rFonts w:ascii="Arial" w:hAnsi="Arial" w:cs="Arial"/>
                <w:sz w:val="22"/>
                <w:szCs w:val="22"/>
              </w:rPr>
              <w:t xml:space="preserve">30 </w:t>
            </w:r>
            <w:r w:rsidR="008F1A48">
              <w:rPr>
                <w:rFonts w:ascii="Arial" w:hAnsi="Arial" w:cs="Arial"/>
                <w:sz w:val="22"/>
                <w:szCs w:val="22"/>
              </w:rPr>
              <w:t>October</w:t>
            </w:r>
            <w:r w:rsidR="00EE1A94">
              <w:rPr>
                <w:rFonts w:ascii="Arial" w:hAnsi="Arial" w:cs="Arial"/>
                <w:sz w:val="22"/>
                <w:szCs w:val="22"/>
              </w:rPr>
              <w:t xml:space="preserve"> 2015</w:t>
            </w:r>
          </w:p>
        </w:tc>
      </w:tr>
      <w:tr w:rsidR="00466649" w:rsidRPr="00663146" w14:paraId="49671CDE" w14:textId="77777777" w:rsidTr="001A1FB4">
        <w:trPr>
          <w:trHeight w:val="57"/>
        </w:trPr>
        <w:tc>
          <w:tcPr>
            <w:tcW w:w="2466" w:type="dxa"/>
            <w:shd w:val="clear" w:color="auto" w:fill="auto"/>
          </w:tcPr>
          <w:p w14:paraId="5EBF0597" w14:textId="77777777" w:rsidR="00466649" w:rsidRPr="0060203D" w:rsidRDefault="00466649" w:rsidP="001A1FB4">
            <w:pPr>
              <w:rPr>
                <w:rStyle w:val="StyleLatinArial11ptBoldCustomColorRGB3173125"/>
              </w:rPr>
            </w:pPr>
            <w:r w:rsidRPr="0060203D" w:rsidDel="00CB5FB4">
              <w:rPr>
                <w:rStyle w:val="StyleLatinArial11ptBoldCustomColorRGB3173125"/>
              </w:rPr>
              <w:t xml:space="preserve">Contact address for written responses </w:t>
            </w:r>
          </w:p>
        </w:tc>
        <w:tc>
          <w:tcPr>
            <w:tcW w:w="7177" w:type="dxa"/>
            <w:gridSpan w:val="4"/>
            <w:shd w:val="clear" w:color="auto" w:fill="auto"/>
          </w:tcPr>
          <w:p w14:paraId="61466877" w14:textId="77777777" w:rsidR="00466649" w:rsidRPr="001A1FB4" w:rsidRDefault="00AE5BCF" w:rsidP="001A1FB4">
            <w:pPr>
              <w:rPr>
                <w:rFonts w:ascii="Arial" w:hAnsi="Arial" w:cs="Arial"/>
                <w:sz w:val="22"/>
                <w:szCs w:val="22"/>
              </w:rPr>
            </w:pPr>
            <w:r w:rsidRPr="001A1FB4">
              <w:rPr>
                <w:rFonts w:ascii="Arial" w:hAnsi="Arial" w:cs="Arial"/>
                <w:sz w:val="22"/>
                <w:szCs w:val="22"/>
              </w:rPr>
              <w:t>Australian Energy Market Operator Limited</w:t>
            </w:r>
          </w:p>
          <w:p w14:paraId="65228BAC" w14:textId="77777777" w:rsidR="00AE5BCF" w:rsidRPr="001A1FB4" w:rsidRDefault="00AE5BCF" w:rsidP="001A1FB4">
            <w:pPr>
              <w:rPr>
                <w:rFonts w:ascii="Arial" w:hAnsi="Arial" w:cs="Arial"/>
                <w:sz w:val="22"/>
                <w:szCs w:val="22"/>
              </w:rPr>
            </w:pPr>
            <w:r w:rsidRPr="001A1FB4">
              <w:rPr>
                <w:rFonts w:ascii="Arial" w:hAnsi="Arial" w:cs="Arial"/>
                <w:sz w:val="22"/>
                <w:szCs w:val="22"/>
              </w:rPr>
              <w:t>GPO Box 2008</w:t>
            </w:r>
          </w:p>
          <w:p w14:paraId="79553BA5" w14:textId="77777777" w:rsidR="00AE5BCF" w:rsidRPr="001A1FB4" w:rsidRDefault="00AE5BCF" w:rsidP="001A1FB4">
            <w:pPr>
              <w:rPr>
                <w:rFonts w:ascii="Arial" w:hAnsi="Arial" w:cs="Arial"/>
                <w:sz w:val="22"/>
                <w:szCs w:val="22"/>
              </w:rPr>
            </w:pPr>
            <w:r w:rsidRPr="001A1FB4">
              <w:rPr>
                <w:rFonts w:ascii="Arial" w:hAnsi="Arial" w:cs="Arial"/>
                <w:sz w:val="22"/>
                <w:szCs w:val="22"/>
              </w:rPr>
              <w:t>Melbourne</w:t>
            </w:r>
          </w:p>
          <w:p w14:paraId="55DE13F0" w14:textId="77777777" w:rsidR="00AE5BCF" w:rsidRPr="001A1FB4" w:rsidRDefault="00AE5BCF" w:rsidP="001A1FB4">
            <w:pPr>
              <w:rPr>
                <w:rFonts w:ascii="Arial" w:hAnsi="Arial" w:cs="Arial"/>
                <w:sz w:val="22"/>
                <w:szCs w:val="22"/>
              </w:rPr>
            </w:pPr>
            <w:r w:rsidRPr="001A1FB4">
              <w:rPr>
                <w:rFonts w:ascii="Arial" w:hAnsi="Arial" w:cs="Arial"/>
                <w:sz w:val="22"/>
                <w:szCs w:val="22"/>
              </w:rPr>
              <w:t>VIC 3001</w:t>
            </w:r>
          </w:p>
          <w:p w14:paraId="43AFC6B6" w14:textId="77777777" w:rsidR="00AE5BCF" w:rsidRPr="001A1FB4" w:rsidRDefault="00AE5BCF" w:rsidP="001A1FB4">
            <w:pPr>
              <w:rPr>
                <w:rFonts w:ascii="Arial" w:hAnsi="Arial" w:cs="Arial"/>
                <w:sz w:val="22"/>
                <w:szCs w:val="22"/>
              </w:rPr>
            </w:pPr>
            <w:r w:rsidRPr="001A1FB4">
              <w:rPr>
                <w:rFonts w:ascii="Arial" w:hAnsi="Arial" w:cs="Arial"/>
                <w:sz w:val="22"/>
                <w:szCs w:val="22"/>
              </w:rPr>
              <w:t>Attn: Roger Shaw</w:t>
            </w:r>
          </w:p>
        </w:tc>
      </w:tr>
      <w:tr w:rsidR="00525A8F" w:rsidRPr="00663146" w14:paraId="555941BC" w14:textId="77777777" w:rsidTr="001A1FB4">
        <w:trPr>
          <w:trHeight w:val="57"/>
        </w:trPr>
        <w:tc>
          <w:tcPr>
            <w:tcW w:w="2466" w:type="dxa"/>
            <w:shd w:val="clear" w:color="auto" w:fill="auto"/>
          </w:tcPr>
          <w:p w14:paraId="13CB47F1" w14:textId="77777777" w:rsidR="00525A8F" w:rsidRPr="0060203D" w:rsidRDefault="00525A8F" w:rsidP="001A1FB4">
            <w:pPr>
              <w:rPr>
                <w:rStyle w:val="StyleLatinArial11ptBoldCustomColorRGB3173125"/>
              </w:rPr>
            </w:pPr>
            <w:r w:rsidRPr="0060203D" w:rsidDel="00CB5FB4">
              <w:rPr>
                <w:rStyle w:val="StyleLatinArial11ptBoldCustomColorRGB3173125"/>
              </w:rPr>
              <w:t>Email Address for Responses</w:t>
            </w:r>
          </w:p>
        </w:tc>
        <w:tc>
          <w:tcPr>
            <w:tcW w:w="7177" w:type="dxa"/>
            <w:gridSpan w:val="4"/>
            <w:shd w:val="clear" w:color="auto" w:fill="auto"/>
          </w:tcPr>
          <w:p w14:paraId="7893B37A" w14:textId="77777777" w:rsidR="00525A8F" w:rsidRPr="0060203D" w:rsidRDefault="00FC44E6" w:rsidP="001A1FB4">
            <w:pPr>
              <w:rPr>
                <w:rFonts w:ascii="Arial" w:hAnsi="Arial" w:cs="Arial"/>
                <w:sz w:val="22"/>
                <w:szCs w:val="22"/>
              </w:rPr>
            </w:pPr>
            <w:hyperlink r:id="rId14" w:history="1">
              <w:r w:rsidR="00AE5BCF" w:rsidRPr="0060203D">
                <w:rPr>
                  <w:rStyle w:val="Hyperlink"/>
                  <w:rFonts w:ascii="Arial" w:hAnsi="Arial" w:cs="Arial"/>
                  <w:sz w:val="22"/>
                  <w:szCs w:val="22"/>
                  <w:u w:val="none"/>
                </w:rPr>
                <w:t>GWCF_Correspondence@aemo.com.au</w:t>
              </w:r>
            </w:hyperlink>
            <w:r w:rsidR="001A1FB4" w:rsidRPr="0060203D">
              <w:rPr>
                <w:rFonts w:ascii="Arial" w:hAnsi="Arial" w:cs="Arial"/>
                <w:sz w:val="22"/>
                <w:szCs w:val="22"/>
              </w:rPr>
              <w:t xml:space="preserve">  </w:t>
            </w:r>
          </w:p>
        </w:tc>
      </w:tr>
      <w:tr w:rsidR="00466649" w:rsidRPr="00663146" w14:paraId="29EB3DCD" w14:textId="77777777" w:rsidTr="001A1FB4">
        <w:trPr>
          <w:trHeight w:val="57"/>
        </w:trPr>
        <w:tc>
          <w:tcPr>
            <w:tcW w:w="2466" w:type="dxa"/>
            <w:shd w:val="clear" w:color="auto" w:fill="auto"/>
          </w:tcPr>
          <w:p w14:paraId="5C3BB139" w14:textId="77777777" w:rsidR="00466649" w:rsidRPr="0060203D" w:rsidRDefault="00466649" w:rsidP="001A1FB4">
            <w:pPr>
              <w:rPr>
                <w:rStyle w:val="StyleLatinArial11ptBoldCustomColorRGB3173125"/>
              </w:rPr>
            </w:pPr>
            <w:r w:rsidRPr="0060203D">
              <w:rPr>
                <w:rStyle w:val="StyleLatinArial11ptBoldCustomColorRGB3173125"/>
              </w:rPr>
              <w:t>Other key contact information</w:t>
            </w:r>
          </w:p>
        </w:tc>
        <w:tc>
          <w:tcPr>
            <w:tcW w:w="7177" w:type="dxa"/>
            <w:gridSpan w:val="4"/>
            <w:shd w:val="clear" w:color="auto" w:fill="auto"/>
          </w:tcPr>
          <w:p w14:paraId="790AAF12" w14:textId="77777777" w:rsidR="00466649" w:rsidRPr="0060203D" w:rsidRDefault="00FC44E6" w:rsidP="001A1FB4">
            <w:pPr>
              <w:rPr>
                <w:rFonts w:ascii="Arial" w:hAnsi="Arial" w:cs="Arial"/>
                <w:sz w:val="22"/>
                <w:szCs w:val="22"/>
              </w:rPr>
            </w:pPr>
            <w:hyperlink r:id="rId15" w:history="1">
              <w:r w:rsidR="001A1FB4" w:rsidRPr="0060203D">
                <w:rPr>
                  <w:rStyle w:val="Hyperlink"/>
                  <w:rFonts w:ascii="Arial" w:hAnsi="Arial" w:cs="Arial"/>
                  <w:sz w:val="22"/>
                  <w:szCs w:val="22"/>
                  <w:u w:val="none"/>
                </w:rPr>
                <w:t>Roger.shaw@aemo.com.au</w:t>
              </w:r>
            </w:hyperlink>
            <w:r w:rsidR="001A1FB4" w:rsidRPr="0060203D">
              <w:rPr>
                <w:rFonts w:ascii="Arial" w:hAnsi="Arial" w:cs="Arial"/>
                <w:sz w:val="22"/>
                <w:szCs w:val="22"/>
              </w:rPr>
              <w:t xml:space="preserve"> </w:t>
            </w:r>
          </w:p>
        </w:tc>
      </w:tr>
    </w:tbl>
    <w:p w14:paraId="40AEA97B" w14:textId="77777777" w:rsidR="00451480" w:rsidRDefault="00451480"/>
    <w:p w14:paraId="61FBEA55" w14:textId="77777777" w:rsidR="009105C4" w:rsidRDefault="009105C4">
      <w:pPr>
        <w:sectPr w:rsidR="009105C4" w:rsidSect="007836D5">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docGrid w:linePitch="360"/>
        </w:sectPr>
      </w:pPr>
    </w:p>
    <w:tbl>
      <w:tblPr>
        <w:tblW w:w="938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451480" w:rsidRPr="00663146" w14:paraId="43807745" w14:textId="77777777" w:rsidTr="00663146">
        <w:trPr>
          <w:trHeight w:val="709"/>
        </w:trPr>
        <w:tc>
          <w:tcPr>
            <w:tcW w:w="9386" w:type="dxa"/>
            <w:shd w:val="clear" w:color="auto" w:fill="auto"/>
            <w:vAlign w:val="center"/>
          </w:tcPr>
          <w:p w14:paraId="1859AE4D" w14:textId="77777777" w:rsidR="00451480" w:rsidRPr="00663146" w:rsidRDefault="00451480" w:rsidP="00663146">
            <w:pPr>
              <w:pStyle w:val="BlockText"/>
              <w:tabs>
                <w:tab w:val="num" w:pos="1440"/>
              </w:tabs>
              <w:spacing w:after="0"/>
              <w:jc w:val="center"/>
              <w:rPr>
                <w:rFonts w:cs="Arial"/>
                <w:b/>
                <w:iCs/>
                <w:color w:val="1F497D"/>
                <w:sz w:val="22"/>
                <w:szCs w:val="22"/>
              </w:rPr>
            </w:pPr>
            <w:r w:rsidRPr="00663146">
              <w:rPr>
                <w:rFonts w:cs="Arial"/>
                <w:b/>
                <w:iCs/>
                <w:color w:val="1F497D"/>
                <w:sz w:val="22"/>
                <w:szCs w:val="22"/>
              </w:rPr>
              <w:lastRenderedPageBreak/>
              <w:t>IMPACT &amp; IMPLEMENTATION REPORT – DETAILED REPORT SECTION</w:t>
            </w:r>
          </w:p>
        </w:tc>
      </w:tr>
    </w:tbl>
    <w:p w14:paraId="326C6DDB" w14:textId="77777777" w:rsidR="00F217C4" w:rsidRDefault="00F217C4"/>
    <w:tbl>
      <w:tblPr>
        <w:tblW w:w="938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055"/>
        <w:gridCol w:w="6331"/>
      </w:tblGrid>
      <w:tr w:rsidR="00451480" w:rsidRPr="00663146" w14:paraId="35DE4F30" w14:textId="77777777" w:rsidTr="001A1FB4">
        <w:trPr>
          <w:trHeight w:val="402"/>
        </w:trPr>
        <w:tc>
          <w:tcPr>
            <w:tcW w:w="9386" w:type="dxa"/>
            <w:gridSpan w:val="2"/>
            <w:shd w:val="clear" w:color="auto" w:fill="auto"/>
            <w:vAlign w:val="center"/>
          </w:tcPr>
          <w:p w14:paraId="04BF3198" w14:textId="77777777" w:rsidR="00451480" w:rsidRPr="00663146" w:rsidRDefault="00BE7857" w:rsidP="00663146">
            <w:pPr>
              <w:pStyle w:val="BlockText"/>
              <w:tabs>
                <w:tab w:val="num" w:pos="1440"/>
              </w:tabs>
              <w:spacing w:after="0"/>
              <w:jc w:val="center"/>
              <w:rPr>
                <w:rFonts w:cs="Arial"/>
                <w:b/>
                <w:iCs/>
                <w:color w:val="1F497D"/>
                <w:sz w:val="22"/>
                <w:szCs w:val="22"/>
              </w:rPr>
            </w:pPr>
            <w:r>
              <w:rPr>
                <w:rFonts w:cs="Arial"/>
                <w:b/>
                <w:iCs/>
                <w:color w:val="1F497D"/>
                <w:sz w:val="22"/>
                <w:szCs w:val="22"/>
              </w:rPr>
              <w:t xml:space="preserve">ASSESSMENT OF </w:t>
            </w:r>
            <w:r w:rsidR="00451480" w:rsidRPr="00663146">
              <w:rPr>
                <w:rFonts w:cs="Arial"/>
                <w:b/>
                <w:iCs/>
                <w:color w:val="1F497D"/>
                <w:sz w:val="22"/>
                <w:szCs w:val="22"/>
              </w:rPr>
              <w:t>PROPOSAL</w:t>
            </w:r>
            <w:r>
              <w:rPr>
                <w:rFonts w:cs="Arial"/>
                <w:b/>
                <w:iCs/>
                <w:color w:val="1F497D"/>
                <w:sz w:val="22"/>
                <w:szCs w:val="22"/>
              </w:rPr>
              <w:t xml:space="preserve"> </w:t>
            </w:r>
          </w:p>
        </w:tc>
      </w:tr>
      <w:tr w:rsidR="00343EB7" w:rsidRPr="00663146" w14:paraId="22B5ABA8" w14:textId="77777777" w:rsidTr="007F1C9E">
        <w:tc>
          <w:tcPr>
            <w:tcW w:w="3055" w:type="dxa"/>
            <w:shd w:val="clear" w:color="auto" w:fill="auto"/>
          </w:tcPr>
          <w:p w14:paraId="2C90BC68" w14:textId="77777777" w:rsidR="00343EB7" w:rsidRPr="00663146" w:rsidRDefault="00BE7857" w:rsidP="00451480">
            <w:pPr>
              <w:pStyle w:val="BlockText"/>
              <w:tabs>
                <w:tab w:val="num" w:pos="1440"/>
              </w:tabs>
              <w:spacing w:after="240"/>
              <w:jc w:val="left"/>
              <w:rPr>
                <w:rFonts w:cs="Arial"/>
                <w:iCs/>
                <w:color w:val="1F497D"/>
                <w:sz w:val="22"/>
                <w:szCs w:val="22"/>
              </w:rPr>
            </w:pPr>
            <w:r>
              <w:rPr>
                <w:rFonts w:cs="Arial"/>
                <w:iCs/>
                <w:color w:val="1F497D"/>
                <w:sz w:val="22"/>
                <w:szCs w:val="22"/>
              </w:rPr>
              <w:t>Summary</w:t>
            </w:r>
            <w:r w:rsidR="00343EB7" w:rsidRPr="00663146">
              <w:rPr>
                <w:rFonts w:cs="Arial"/>
                <w:iCs/>
                <w:color w:val="1F497D"/>
                <w:sz w:val="22"/>
                <w:szCs w:val="22"/>
              </w:rPr>
              <w:t xml:space="preserve"> </w:t>
            </w:r>
            <w:r w:rsidR="00525A8F">
              <w:rPr>
                <w:rFonts w:cs="Arial"/>
                <w:iCs/>
                <w:color w:val="1F497D"/>
                <w:sz w:val="22"/>
                <w:szCs w:val="22"/>
              </w:rPr>
              <w:t>and rationale for</w:t>
            </w:r>
            <w:r w:rsidR="00343EB7" w:rsidRPr="00663146">
              <w:rPr>
                <w:rFonts w:cs="Arial"/>
                <w:iCs/>
                <w:color w:val="1F497D"/>
                <w:sz w:val="22"/>
                <w:szCs w:val="22"/>
              </w:rPr>
              <w:t xml:space="preserve"> the change</w:t>
            </w:r>
            <w:r w:rsidR="00525A8F">
              <w:rPr>
                <w:rFonts w:cs="Arial"/>
                <w:iCs/>
                <w:color w:val="1F497D"/>
                <w:sz w:val="22"/>
                <w:szCs w:val="22"/>
              </w:rPr>
              <w:t>s</w:t>
            </w:r>
          </w:p>
          <w:p w14:paraId="47989EB3" w14:textId="77777777" w:rsidR="00343EB7" w:rsidRPr="00663146" w:rsidRDefault="00343EB7" w:rsidP="00FA07C4">
            <w:pPr>
              <w:pStyle w:val="BlockText"/>
              <w:tabs>
                <w:tab w:val="num" w:pos="1440"/>
              </w:tabs>
              <w:spacing w:after="240"/>
              <w:jc w:val="left"/>
              <w:rPr>
                <w:rFonts w:cs="Arial"/>
                <w:iCs/>
                <w:color w:val="1F497D"/>
                <w:sz w:val="22"/>
                <w:szCs w:val="22"/>
              </w:rPr>
            </w:pPr>
            <w:r w:rsidRPr="00663146">
              <w:rPr>
                <w:rFonts w:cs="Arial"/>
                <w:iCs/>
                <w:color w:val="1F497D"/>
                <w:sz w:val="22"/>
                <w:szCs w:val="22"/>
              </w:rPr>
              <w:t>(see Attachment A</w:t>
            </w:r>
            <w:r w:rsidR="00BE7857">
              <w:rPr>
                <w:rFonts w:cs="Arial"/>
                <w:iCs/>
                <w:color w:val="1F497D"/>
                <w:sz w:val="22"/>
                <w:szCs w:val="22"/>
              </w:rPr>
              <w:t xml:space="preserve"> for the full set of changes</w:t>
            </w:r>
            <w:r w:rsidRPr="00663146">
              <w:rPr>
                <w:rFonts w:cs="Arial"/>
                <w:iCs/>
                <w:color w:val="1F497D"/>
                <w:sz w:val="22"/>
                <w:szCs w:val="22"/>
              </w:rPr>
              <w:t>)</w:t>
            </w:r>
          </w:p>
        </w:tc>
        <w:tc>
          <w:tcPr>
            <w:tcW w:w="6331" w:type="dxa"/>
            <w:shd w:val="clear" w:color="auto" w:fill="auto"/>
          </w:tcPr>
          <w:p w14:paraId="450D065A" w14:textId="77777777" w:rsidR="00343EB7" w:rsidRPr="003E7E7C" w:rsidRDefault="00223E1F" w:rsidP="00451480">
            <w:pPr>
              <w:pStyle w:val="BlockText"/>
              <w:tabs>
                <w:tab w:val="num" w:pos="1440"/>
              </w:tabs>
              <w:spacing w:after="240"/>
              <w:jc w:val="left"/>
              <w:rPr>
                <w:rFonts w:cs="Arial"/>
                <w:iCs/>
                <w:sz w:val="22"/>
                <w:szCs w:val="22"/>
              </w:rPr>
            </w:pPr>
            <w:r w:rsidRPr="003E7E7C">
              <w:rPr>
                <w:rFonts w:cs="Arial"/>
                <w:iCs/>
                <w:sz w:val="22"/>
                <w:szCs w:val="22"/>
              </w:rPr>
              <w:t>The p</w:t>
            </w:r>
            <w:r w:rsidR="001A1FB4" w:rsidRPr="003E7E7C">
              <w:rPr>
                <w:rFonts w:cs="Arial"/>
                <w:iCs/>
                <w:sz w:val="22"/>
                <w:szCs w:val="22"/>
              </w:rPr>
              <w:t xml:space="preserve">roposed changes </w:t>
            </w:r>
            <w:r w:rsidRPr="003E7E7C">
              <w:rPr>
                <w:rFonts w:cs="Arial"/>
                <w:iCs/>
                <w:sz w:val="22"/>
                <w:szCs w:val="22"/>
              </w:rPr>
              <w:t>are to</w:t>
            </w:r>
            <w:r w:rsidR="001A1FB4" w:rsidRPr="003E7E7C">
              <w:rPr>
                <w:rFonts w:cs="Arial"/>
                <w:iCs/>
                <w:sz w:val="22"/>
                <w:szCs w:val="22"/>
              </w:rPr>
              <w:t>:</w:t>
            </w:r>
          </w:p>
          <w:p w14:paraId="1FB995EC" w14:textId="532508B4" w:rsidR="001A1FB4" w:rsidRPr="003E7E7C" w:rsidRDefault="00223E1F" w:rsidP="001A1FB4">
            <w:pPr>
              <w:pStyle w:val="BlockText"/>
              <w:numPr>
                <w:ilvl w:val="0"/>
                <w:numId w:val="4"/>
              </w:numPr>
              <w:spacing w:after="240"/>
              <w:jc w:val="left"/>
              <w:rPr>
                <w:rFonts w:cs="Arial"/>
                <w:iCs/>
                <w:sz w:val="22"/>
                <w:szCs w:val="22"/>
              </w:rPr>
            </w:pPr>
            <w:r w:rsidRPr="003E7E7C">
              <w:rPr>
                <w:rFonts w:cs="Arial"/>
                <w:iCs/>
                <w:sz w:val="22"/>
                <w:szCs w:val="22"/>
              </w:rPr>
              <w:t xml:space="preserve">Require </w:t>
            </w:r>
            <w:r w:rsidR="00172EC9">
              <w:rPr>
                <w:rFonts w:cs="Arial"/>
                <w:iCs/>
                <w:sz w:val="22"/>
                <w:szCs w:val="22"/>
              </w:rPr>
              <w:t xml:space="preserve">AEMO to determine </w:t>
            </w:r>
            <w:r w:rsidRPr="003E7E7C">
              <w:rPr>
                <w:rFonts w:cs="Arial"/>
                <w:iCs/>
                <w:sz w:val="22"/>
                <w:szCs w:val="22"/>
              </w:rPr>
              <w:t xml:space="preserve">the </w:t>
            </w:r>
            <w:r w:rsidR="001A1FB4" w:rsidRPr="003E7E7C">
              <w:rPr>
                <w:rFonts w:cs="Arial"/>
                <w:iCs/>
                <w:sz w:val="22"/>
                <w:szCs w:val="22"/>
              </w:rPr>
              <w:t xml:space="preserve">formula for the Average Volume Weighted Market Price (AVWMP) </w:t>
            </w:r>
            <w:r w:rsidRPr="003E7E7C">
              <w:rPr>
                <w:rFonts w:cs="Arial"/>
                <w:iCs/>
                <w:sz w:val="22"/>
                <w:szCs w:val="22"/>
              </w:rPr>
              <w:t xml:space="preserve">using </w:t>
            </w:r>
            <w:r w:rsidR="001A1FB4" w:rsidRPr="003E7E7C">
              <w:rPr>
                <w:rFonts w:cs="Arial"/>
                <w:iCs/>
                <w:sz w:val="22"/>
                <w:szCs w:val="22"/>
              </w:rPr>
              <w:t>deviation prices</w:t>
            </w:r>
            <w:r w:rsidRPr="003E7E7C">
              <w:rPr>
                <w:rFonts w:cs="Arial"/>
                <w:iCs/>
                <w:sz w:val="22"/>
                <w:szCs w:val="22"/>
              </w:rPr>
              <w:t xml:space="preserve"> and net injections into declared distribution systems.</w:t>
            </w:r>
          </w:p>
          <w:p w14:paraId="2DB92F70" w14:textId="77777777" w:rsidR="00223E1F" w:rsidRPr="003E7E7C" w:rsidRDefault="00223E1F" w:rsidP="00E909BB">
            <w:pPr>
              <w:pStyle w:val="BlockText"/>
              <w:spacing w:after="240"/>
              <w:ind w:left="720"/>
              <w:rPr>
                <w:rFonts w:cs="Arial"/>
                <w:iCs/>
                <w:sz w:val="22"/>
                <w:szCs w:val="22"/>
              </w:rPr>
            </w:pPr>
            <w:r w:rsidRPr="003E7E7C">
              <w:rPr>
                <w:rFonts w:cs="Arial"/>
                <w:iCs/>
                <w:sz w:val="22"/>
                <w:szCs w:val="22"/>
              </w:rPr>
              <w:t xml:space="preserve">AEMO uses the AVWMP to determine the </w:t>
            </w:r>
            <w:r w:rsidR="00D21E83" w:rsidRPr="003E7E7C">
              <w:rPr>
                <w:rFonts w:cs="Arial"/>
                <w:iCs/>
                <w:sz w:val="22"/>
                <w:szCs w:val="22"/>
              </w:rPr>
              <w:t>unaccounted for gas (</w:t>
            </w:r>
            <w:r w:rsidRPr="003E7E7C">
              <w:rPr>
                <w:rFonts w:cs="Arial"/>
                <w:iCs/>
                <w:sz w:val="22"/>
                <w:szCs w:val="22"/>
              </w:rPr>
              <w:t>UAFG</w:t>
            </w:r>
            <w:r w:rsidR="00D21E83" w:rsidRPr="003E7E7C">
              <w:rPr>
                <w:rFonts w:cs="Arial"/>
                <w:iCs/>
                <w:sz w:val="22"/>
                <w:szCs w:val="22"/>
              </w:rPr>
              <w:t>)</w:t>
            </w:r>
            <w:r w:rsidRPr="003E7E7C">
              <w:rPr>
                <w:rFonts w:cs="Arial"/>
                <w:iCs/>
                <w:sz w:val="22"/>
                <w:szCs w:val="22"/>
              </w:rPr>
              <w:t xml:space="preserve"> reconciliation amounts to be paid between retailers and distributors. </w:t>
            </w:r>
          </w:p>
          <w:p w14:paraId="345DB813" w14:textId="7C640F5D" w:rsidR="00223E1F" w:rsidRPr="003E7E7C" w:rsidRDefault="00223E1F" w:rsidP="00E909BB">
            <w:pPr>
              <w:pStyle w:val="BlockText"/>
              <w:spacing w:after="240"/>
              <w:ind w:left="720"/>
              <w:jc w:val="left"/>
              <w:rPr>
                <w:rFonts w:cs="Arial"/>
                <w:iCs/>
                <w:sz w:val="22"/>
                <w:szCs w:val="22"/>
              </w:rPr>
            </w:pPr>
            <w:r w:rsidRPr="003E7E7C">
              <w:rPr>
                <w:rFonts w:cs="Arial"/>
                <w:iCs/>
                <w:sz w:val="22"/>
                <w:szCs w:val="22"/>
              </w:rPr>
              <w:t xml:space="preserve">If AEMO follows the current </w:t>
            </w:r>
            <w:r w:rsidR="00C634A4" w:rsidRPr="003E7E7C">
              <w:rPr>
                <w:rFonts w:cs="Arial"/>
                <w:iCs/>
                <w:sz w:val="22"/>
                <w:szCs w:val="22"/>
              </w:rPr>
              <w:t xml:space="preserve">Wholesale </w:t>
            </w:r>
            <w:r w:rsidR="00172EC9">
              <w:rPr>
                <w:rFonts w:cs="Arial"/>
                <w:iCs/>
                <w:sz w:val="22"/>
                <w:szCs w:val="22"/>
              </w:rPr>
              <w:t>M</w:t>
            </w:r>
            <w:r w:rsidR="00C634A4" w:rsidRPr="003E7E7C">
              <w:rPr>
                <w:rFonts w:cs="Arial"/>
                <w:iCs/>
                <w:sz w:val="22"/>
                <w:szCs w:val="22"/>
              </w:rPr>
              <w:t xml:space="preserve">arket </w:t>
            </w:r>
            <w:r w:rsidR="00172EC9">
              <w:rPr>
                <w:rFonts w:cs="Arial"/>
                <w:iCs/>
                <w:sz w:val="22"/>
                <w:szCs w:val="22"/>
              </w:rPr>
              <w:t>D</w:t>
            </w:r>
            <w:r w:rsidR="00C634A4" w:rsidRPr="003E7E7C">
              <w:rPr>
                <w:rFonts w:cs="Arial"/>
                <w:iCs/>
                <w:sz w:val="22"/>
                <w:szCs w:val="22"/>
              </w:rPr>
              <w:t>istribution UAFG Procedures (Victoria)</w:t>
            </w:r>
            <w:r w:rsidR="00E909BB" w:rsidRPr="003E7E7C">
              <w:rPr>
                <w:rFonts w:cs="Arial"/>
                <w:iCs/>
                <w:sz w:val="22"/>
                <w:szCs w:val="22"/>
              </w:rPr>
              <w:t xml:space="preserve"> (the Procedure)</w:t>
            </w:r>
            <w:r w:rsidRPr="003E7E7C">
              <w:rPr>
                <w:rFonts w:cs="Arial"/>
                <w:iCs/>
                <w:sz w:val="22"/>
                <w:szCs w:val="22"/>
              </w:rPr>
              <w:t>, several possible AVWMP could be determined for each year.  Each would be compliant but not reasonable, meaning that the reconciliation price would not reflect an appropriate mix of contract and spot prices.</w:t>
            </w:r>
          </w:p>
          <w:p w14:paraId="0A6B8952" w14:textId="5C4DAF73" w:rsidR="00223E1F" w:rsidRPr="003E7E7C" w:rsidRDefault="00D734BB" w:rsidP="00E909BB">
            <w:pPr>
              <w:pStyle w:val="BlockText"/>
              <w:spacing w:after="240"/>
              <w:ind w:left="720"/>
              <w:jc w:val="left"/>
              <w:rPr>
                <w:rFonts w:cs="Arial"/>
                <w:iCs/>
                <w:sz w:val="22"/>
                <w:szCs w:val="22"/>
              </w:rPr>
            </w:pPr>
            <w:r w:rsidRPr="003E7E7C">
              <w:rPr>
                <w:rFonts w:cs="Arial"/>
                <w:iCs/>
                <w:sz w:val="22"/>
                <w:szCs w:val="22"/>
              </w:rPr>
              <w:t xml:space="preserve">Following a workshop with </w:t>
            </w:r>
            <w:r w:rsidR="00517D9F" w:rsidRPr="003E7E7C">
              <w:rPr>
                <w:rFonts w:cs="Arial"/>
                <w:iCs/>
                <w:sz w:val="22"/>
                <w:szCs w:val="22"/>
              </w:rPr>
              <w:t>participants</w:t>
            </w:r>
            <w:r w:rsidR="00C634A4" w:rsidRPr="003E7E7C">
              <w:rPr>
                <w:rFonts w:cs="Arial"/>
                <w:iCs/>
                <w:sz w:val="22"/>
                <w:szCs w:val="22"/>
              </w:rPr>
              <w:t xml:space="preserve"> </w:t>
            </w:r>
            <w:r w:rsidR="00172EC9">
              <w:rPr>
                <w:rFonts w:cs="Arial"/>
                <w:iCs/>
                <w:sz w:val="22"/>
                <w:szCs w:val="22"/>
              </w:rPr>
              <w:t xml:space="preserve">in June 2015 </w:t>
            </w:r>
            <w:r w:rsidR="00C634A4" w:rsidRPr="003E7E7C">
              <w:rPr>
                <w:rFonts w:cs="Arial"/>
                <w:iCs/>
                <w:sz w:val="22"/>
                <w:szCs w:val="22"/>
              </w:rPr>
              <w:t>to review AVWMP options</w:t>
            </w:r>
            <w:r w:rsidRPr="003E7E7C">
              <w:rPr>
                <w:rFonts w:cs="Arial"/>
                <w:iCs/>
                <w:sz w:val="22"/>
                <w:szCs w:val="22"/>
              </w:rPr>
              <w:t xml:space="preserve">, </w:t>
            </w:r>
            <w:r w:rsidR="00C634A4" w:rsidRPr="003E7E7C">
              <w:rPr>
                <w:rFonts w:cs="Arial"/>
                <w:iCs/>
                <w:sz w:val="22"/>
                <w:szCs w:val="22"/>
              </w:rPr>
              <w:t xml:space="preserve">AEMO proposed to </w:t>
            </w:r>
            <w:r w:rsidRPr="003E7E7C">
              <w:rPr>
                <w:rFonts w:cs="Arial"/>
                <w:iCs/>
                <w:sz w:val="22"/>
                <w:szCs w:val="22"/>
              </w:rPr>
              <w:t>the 11 August 2015 G</w:t>
            </w:r>
            <w:r w:rsidR="00C634A4" w:rsidRPr="003E7E7C">
              <w:rPr>
                <w:rFonts w:cs="Arial"/>
                <w:iCs/>
                <w:sz w:val="22"/>
                <w:szCs w:val="22"/>
              </w:rPr>
              <w:t xml:space="preserve">as </w:t>
            </w:r>
            <w:r w:rsidRPr="003E7E7C">
              <w:rPr>
                <w:rFonts w:cs="Arial"/>
                <w:iCs/>
                <w:sz w:val="22"/>
                <w:szCs w:val="22"/>
              </w:rPr>
              <w:t>W</w:t>
            </w:r>
            <w:r w:rsidR="00C634A4" w:rsidRPr="003E7E7C">
              <w:rPr>
                <w:rFonts w:cs="Arial"/>
                <w:iCs/>
                <w:sz w:val="22"/>
                <w:szCs w:val="22"/>
              </w:rPr>
              <w:t xml:space="preserve">holesale </w:t>
            </w:r>
            <w:r w:rsidRPr="003E7E7C">
              <w:rPr>
                <w:rFonts w:cs="Arial"/>
                <w:iCs/>
                <w:sz w:val="22"/>
                <w:szCs w:val="22"/>
              </w:rPr>
              <w:t>C</w:t>
            </w:r>
            <w:r w:rsidR="00C634A4" w:rsidRPr="003E7E7C">
              <w:rPr>
                <w:rFonts w:cs="Arial"/>
                <w:iCs/>
                <w:sz w:val="22"/>
                <w:szCs w:val="22"/>
              </w:rPr>
              <w:t xml:space="preserve">onsultative </w:t>
            </w:r>
            <w:r w:rsidRPr="003E7E7C">
              <w:rPr>
                <w:rFonts w:cs="Arial"/>
                <w:iCs/>
                <w:sz w:val="22"/>
                <w:szCs w:val="22"/>
              </w:rPr>
              <w:t>F</w:t>
            </w:r>
            <w:r w:rsidR="00C634A4" w:rsidRPr="003E7E7C">
              <w:rPr>
                <w:rFonts w:cs="Arial"/>
                <w:iCs/>
                <w:sz w:val="22"/>
                <w:szCs w:val="22"/>
              </w:rPr>
              <w:t>orum</w:t>
            </w:r>
            <w:r w:rsidRPr="003E7E7C">
              <w:rPr>
                <w:rFonts w:cs="Arial"/>
                <w:iCs/>
                <w:sz w:val="22"/>
                <w:szCs w:val="22"/>
              </w:rPr>
              <w:t xml:space="preserve"> </w:t>
            </w:r>
            <w:r w:rsidR="00C634A4" w:rsidRPr="003E7E7C">
              <w:rPr>
                <w:rFonts w:cs="Arial"/>
                <w:iCs/>
                <w:sz w:val="22"/>
                <w:szCs w:val="22"/>
              </w:rPr>
              <w:t>(GWCF) that the AVWMP</w:t>
            </w:r>
            <w:r w:rsidRPr="003E7E7C">
              <w:rPr>
                <w:rFonts w:cs="Arial"/>
                <w:iCs/>
                <w:sz w:val="22"/>
                <w:szCs w:val="22"/>
              </w:rPr>
              <w:t xml:space="preserve"> should be determined using injection weighted deviation prices</w:t>
            </w:r>
            <w:r w:rsidR="00C634A4" w:rsidRPr="003E7E7C">
              <w:rPr>
                <w:rFonts w:cs="Arial"/>
                <w:iCs/>
                <w:sz w:val="22"/>
                <w:szCs w:val="22"/>
              </w:rPr>
              <w:t xml:space="preserve">. </w:t>
            </w:r>
          </w:p>
          <w:p w14:paraId="5A7FCF27" w14:textId="77777777" w:rsidR="001A1FB4" w:rsidRPr="003E7E7C" w:rsidRDefault="001A1FB4" w:rsidP="00223E1F">
            <w:pPr>
              <w:pStyle w:val="BlockText"/>
              <w:numPr>
                <w:ilvl w:val="0"/>
                <w:numId w:val="4"/>
              </w:numPr>
              <w:spacing w:after="240"/>
              <w:jc w:val="left"/>
              <w:rPr>
                <w:rFonts w:cs="Arial"/>
                <w:iCs/>
                <w:sz w:val="22"/>
                <w:szCs w:val="22"/>
              </w:rPr>
            </w:pPr>
            <w:r w:rsidRPr="003E7E7C">
              <w:rPr>
                <w:rFonts w:cs="Arial"/>
                <w:iCs/>
                <w:sz w:val="22"/>
                <w:szCs w:val="22"/>
              </w:rPr>
              <w:t>Align th</w:t>
            </w:r>
            <w:r w:rsidR="00223E1F" w:rsidRPr="003E7E7C">
              <w:rPr>
                <w:rFonts w:cs="Arial"/>
                <w:iCs/>
                <w:sz w:val="22"/>
                <w:szCs w:val="22"/>
              </w:rPr>
              <w:t xml:space="preserve">e formula for AVWMP </w:t>
            </w:r>
            <w:r w:rsidRPr="003E7E7C">
              <w:rPr>
                <w:rFonts w:cs="Arial"/>
                <w:iCs/>
                <w:sz w:val="22"/>
                <w:szCs w:val="22"/>
              </w:rPr>
              <w:t xml:space="preserve">with the formula for the Unaccounted for Gas reconciliation amount in </w:t>
            </w:r>
            <w:r w:rsidR="00D64EF4" w:rsidRPr="003E7E7C">
              <w:rPr>
                <w:rFonts w:cs="Arial"/>
                <w:iCs/>
                <w:sz w:val="22"/>
                <w:szCs w:val="22"/>
              </w:rPr>
              <w:t xml:space="preserve">item C2 of Part C of Schedule 1 of Victorian Gas </w:t>
            </w:r>
            <w:r w:rsidRPr="003E7E7C">
              <w:rPr>
                <w:rFonts w:cs="Arial"/>
                <w:iCs/>
                <w:sz w:val="22"/>
                <w:szCs w:val="22"/>
              </w:rPr>
              <w:t>Distribution System Code</w:t>
            </w:r>
            <w:r w:rsidR="00E909BB" w:rsidRPr="003E7E7C">
              <w:rPr>
                <w:rFonts w:cs="Arial"/>
                <w:iCs/>
                <w:sz w:val="22"/>
                <w:szCs w:val="22"/>
              </w:rPr>
              <w:t xml:space="preserve"> (the Code)</w:t>
            </w:r>
            <w:r w:rsidR="00D64EF4" w:rsidRPr="003E7E7C">
              <w:rPr>
                <w:rFonts w:cs="Arial"/>
                <w:iCs/>
                <w:sz w:val="22"/>
                <w:szCs w:val="22"/>
              </w:rPr>
              <w:t>.</w:t>
            </w:r>
          </w:p>
          <w:p w14:paraId="743AE621" w14:textId="3C638FE8" w:rsidR="00C634A4" w:rsidRPr="003E7E7C" w:rsidRDefault="00D11670" w:rsidP="00E909BB">
            <w:pPr>
              <w:pStyle w:val="BlockText"/>
              <w:spacing w:after="240"/>
              <w:ind w:left="720"/>
              <w:jc w:val="left"/>
              <w:rPr>
                <w:rFonts w:cs="Arial"/>
                <w:iCs/>
                <w:sz w:val="22"/>
                <w:szCs w:val="22"/>
              </w:rPr>
            </w:pPr>
            <w:r>
              <w:rPr>
                <w:rFonts w:cs="Arial"/>
                <w:iCs/>
                <w:sz w:val="22"/>
                <w:szCs w:val="22"/>
              </w:rPr>
              <w:t xml:space="preserve">After </w:t>
            </w:r>
            <w:r w:rsidR="00C634A4" w:rsidRPr="003E7E7C">
              <w:rPr>
                <w:rFonts w:cs="Arial"/>
                <w:iCs/>
                <w:sz w:val="22"/>
                <w:szCs w:val="22"/>
              </w:rPr>
              <w:t>the June 2015 workshop</w:t>
            </w:r>
            <w:r w:rsidR="0060203D">
              <w:rPr>
                <w:rFonts w:cs="Arial"/>
                <w:iCs/>
                <w:sz w:val="22"/>
                <w:szCs w:val="22"/>
              </w:rPr>
              <w:t>,</w:t>
            </w:r>
            <w:r w:rsidR="00C634A4" w:rsidRPr="003E7E7C">
              <w:rPr>
                <w:rFonts w:cs="Arial"/>
                <w:iCs/>
                <w:sz w:val="22"/>
                <w:szCs w:val="22"/>
              </w:rPr>
              <w:t xml:space="preserve"> Multinet Gas </w:t>
            </w:r>
            <w:r w:rsidR="00172EC9">
              <w:rPr>
                <w:rFonts w:cs="Arial"/>
                <w:iCs/>
                <w:sz w:val="22"/>
                <w:szCs w:val="22"/>
              </w:rPr>
              <w:t xml:space="preserve">expressed </w:t>
            </w:r>
            <w:r w:rsidR="00E909BB" w:rsidRPr="003E7E7C">
              <w:rPr>
                <w:rFonts w:cs="Arial"/>
                <w:iCs/>
                <w:sz w:val="22"/>
                <w:szCs w:val="22"/>
              </w:rPr>
              <w:t xml:space="preserve">concerns over the alignment of the Procedure and the Code – </w:t>
            </w:r>
            <w:r w:rsidR="00517D9F" w:rsidRPr="003E7E7C">
              <w:rPr>
                <w:rFonts w:cs="Arial"/>
                <w:iCs/>
                <w:sz w:val="22"/>
                <w:szCs w:val="22"/>
              </w:rPr>
              <w:t>particularly</w:t>
            </w:r>
            <w:r w:rsidR="00E909BB" w:rsidRPr="003E7E7C">
              <w:rPr>
                <w:rFonts w:cs="Arial"/>
                <w:iCs/>
                <w:sz w:val="22"/>
                <w:szCs w:val="22"/>
              </w:rPr>
              <w:t xml:space="preserve"> during a current access period.</w:t>
            </w:r>
          </w:p>
          <w:p w14:paraId="129B6D76" w14:textId="529479F7" w:rsidR="00E909BB" w:rsidRPr="003E7E7C" w:rsidRDefault="00E909BB" w:rsidP="00E909BB">
            <w:pPr>
              <w:pStyle w:val="BlockText"/>
              <w:spacing w:after="240"/>
              <w:ind w:left="720"/>
              <w:jc w:val="left"/>
              <w:rPr>
                <w:rFonts w:cs="Arial"/>
                <w:iCs/>
                <w:sz w:val="22"/>
                <w:szCs w:val="22"/>
              </w:rPr>
            </w:pPr>
            <w:r w:rsidRPr="003E7E7C">
              <w:rPr>
                <w:rFonts w:cs="Arial"/>
                <w:iCs/>
                <w:sz w:val="22"/>
                <w:szCs w:val="22"/>
              </w:rPr>
              <w:t>The</w:t>
            </w:r>
            <w:r w:rsidR="00D11670">
              <w:rPr>
                <w:rFonts w:cs="Arial"/>
                <w:iCs/>
                <w:sz w:val="22"/>
                <w:szCs w:val="22"/>
              </w:rPr>
              <w:t xml:space="preserve"> proposed </w:t>
            </w:r>
            <w:r w:rsidRPr="003E7E7C">
              <w:rPr>
                <w:rFonts w:cs="Arial"/>
                <w:iCs/>
                <w:sz w:val="22"/>
                <w:szCs w:val="22"/>
              </w:rPr>
              <w:t xml:space="preserve">changes would ensure that there was no doubt that the Procedure was aligned with the Code. </w:t>
            </w:r>
          </w:p>
          <w:p w14:paraId="6FC309E0" w14:textId="2517EBE6" w:rsidR="00D64EF4" w:rsidRPr="003E7E7C" w:rsidRDefault="00D64EF4" w:rsidP="00223E1F">
            <w:pPr>
              <w:pStyle w:val="BlockText"/>
              <w:numPr>
                <w:ilvl w:val="0"/>
                <w:numId w:val="4"/>
              </w:numPr>
              <w:spacing w:after="240"/>
              <w:jc w:val="left"/>
              <w:rPr>
                <w:rFonts w:cs="Arial"/>
                <w:iCs/>
                <w:sz w:val="22"/>
                <w:szCs w:val="22"/>
              </w:rPr>
            </w:pPr>
            <w:r w:rsidRPr="003E7E7C">
              <w:rPr>
                <w:rFonts w:cs="Arial"/>
                <w:iCs/>
                <w:sz w:val="22"/>
                <w:szCs w:val="22"/>
              </w:rPr>
              <w:t xml:space="preserve">Allow a DUAFG year </w:t>
            </w:r>
            <w:r w:rsidR="00172EC9">
              <w:rPr>
                <w:rFonts w:cs="Arial"/>
                <w:iCs/>
                <w:sz w:val="22"/>
                <w:szCs w:val="22"/>
              </w:rPr>
              <w:t xml:space="preserve">to be split </w:t>
            </w:r>
            <w:r w:rsidRPr="003E7E7C">
              <w:rPr>
                <w:rFonts w:cs="Arial"/>
                <w:iCs/>
                <w:sz w:val="22"/>
                <w:szCs w:val="22"/>
              </w:rPr>
              <w:t xml:space="preserve">into DUAFG periods with the same benchmark </w:t>
            </w:r>
            <w:r w:rsidR="00223E1F" w:rsidRPr="003E7E7C">
              <w:rPr>
                <w:rFonts w:cs="Arial"/>
                <w:iCs/>
                <w:sz w:val="22"/>
                <w:szCs w:val="22"/>
              </w:rPr>
              <w:t xml:space="preserve">values for a </w:t>
            </w:r>
            <w:r w:rsidRPr="003E7E7C">
              <w:rPr>
                <w:rFonts w:cs="Arial"/>
                <w:iCs/>
                <w:sz w:val="22"/>
                <w:szCs w:val="22"/>
              </w:rPr>
              <w:t xml:space="preserve">supply point class and </w:t>
            </w:r>
            <w:r w:rsidR="00223E1F" w:rsidRPr="003E7E7C">
              <w:rPr>
                <w:rFonts w:cs="Arial"/>
                <w:iCs/>
                <w:sz w:val="22"/>
                <w:szCs w:val="22"/>
              </w:rPr>
              <w:t>distributor.</w:t>
            </w:r>
          </w:p>
          <w:p w14:paraId="285ED78E" w14:textId="6D3E4CFC" w:rsidR="00223E1F" w:rsidRPr="003E7E7C" w:rsidRDefault="00E909BB" w:rsidP="00E909BB">
            <w:pPr>
              <w:pStyle w:val="BlockText"/>
              <w:spacing w:after="240"/>
              <w:ind w:left="720"/>
              <w:jc w:val="left"/>
              <w:rPr>
                <w:rFonts w:cs="Arial"/>
                <w:iCs/>
                <w:sz w:val="22"/>
                <w:szCs w:val="22"/>
              </w:rPr>
            </w:pPr>
            <w:r w:rsidRPr="003E7E7C">
              <w:rPr>
                <w:rFonts w:cs="Arial"/>
                <w:iCs/>
                <w:sz w:val="22"/>
                <w:szCs w:val="22"/>
              </w:rPr>
              <w:t xml:space="preserve">The current Procedure is based on a reconciliation for a calendar year only.  AEMO has previously </w:t>
            </w:r>
            <w:r w:rsidR="00172EC9">
              <w:rPr>
                <w:rFonts w:cs="Arial"/>
                <w:iCs/>
                <w:sz w:val="22"/>
                <w:szCs w:val="22"/>
              </w:rPr>
              <w:t>sought</w:t>
            </w:r>
            <w:r w:rsidRPr="003E7E7C">
              <w:rPr>
                <w:rFonts w:cs="Arial"/>
                <w:iCs/>
                <w:sz w:val="22"/>
                <w:szCs w:val="22"/>
              </w:rPr>
              <w:t xml:space="preserve"> a letter of </w:t>
            </w:r>
            <w:r w:rsidR="00172EC9">
              <w:rPr>
                <w:rFonts w:cs="Arial"/>
                <w:iCs/>
                <w:sz w:val="22"/>
                <w:szCs w:val="22"/>
              </w:rPr>
              <w:t>n</w:t>
            </w:r>
            <w:r w:rsidRPr="003E7E7C">
              <w:rPr>
                <w:rFonts w:cs="Arial"/>
                <w:iCs/>
                <w:sz w:val="22"/>
                <w:szCs w:val="22"/>
              </w:rPr>
              <w:t xml:space="preserve">o </w:t>
            </w:r>
            <w:r w:rsidR="00172EC9">
              <w:rPr>
                <w:rFonts w:cs="Arial"/>
                <w:iCs/>
                <w:sz w:val="22"/>
                <w:szCs w:val="22"/>
              </w:rPr>
              <w:t>a</w:t>
            </w:r>
            <w:r w:rsidRPr="003E7E7C">
              <w:rPr>
                <w:rFonts w:cs="Arial"/>
                <w:iCs/>
                <w:sz w:val="22"/>
                <w:szCs w:val="22"/>
              </w:rPr>
              <w:t>ction from the Australian Energy Regulator when unaccounted for gas benchmark rates were changed during a calendar year.</w:t>
            </w:r>
          </w:p>
          <w:p w14:paraId="59801BC1" w14:textId="0A1C509E" w:rsidR="00E909BB" w:rsidRPr="003E7E7C" w:rsidRDefault="00E909BB" w:rsidP="00D11670">
            <w:pPr>
              <w:pStyle w:val="BlockText"/>
              <w:spacing w:after="240"/>
              <w:ind w:left="720"/>
              <w:jc w:val="left"/>
              <w:rPr>
                <w:rFonts w:cs="Arial"/>
                <w:iCs/>
                <w:sz w:val="22"/>
                <w:szCs w:val="22"/>
              </w:rPr>
            </w:pPr>
            <w:r w:rsidRPr="003E7E7C">
              <w:rPr>
                <w:rFonts w:cs="Arial"/>
                <w:iCs/>
                <w:sz w:val="22"/>
                <w:szCs w:val="22"/>
              </w:rPr>
              <w:t>The</w:t>
            </w:r>
            <w:r w:rsidR="00D11670">
              <w:rPr>
                <w:rFonts w:cs="Arial"/>
                <w:iCs/>
                <w:sz w:val="22"/>
                <w:szCs w:val="22"/>
              </w:rPr>
              <w:t xml:space="preserve"> proposed </w:t>
            </w:r>
            <w:r w:rsidRPr="003E7E7C">
              <w:rPr>
                <w:rFonts w:cs="Arial"/>
                <w:iCs/>
                <w:sz w:val="22"/>
                <w:szCs w:val="22"/>
              </w:rPr>
              <w:t xml:space="preserve">changes will allow AEMO to apply the same formula in determining reconciliation amounts for </w:t>
            </w:r>
            <w:r w:rsidRPr="003E7E7C">
              <w:rPr>
                <w:rFonts w:cs="Arial"/>
                <w:iCs/>
                <w:sz w:val="22"/>
                <w:szCs w:val="22"/>
              </w:rPr>
              <w:lastRenderedPageBreak/>
              <w:t xml:space="preserve">DUAFG periods </w:t>
            </w:r>
            <w:r w:rsidR="00D21E83" w:rsidRPr="003E7E7C">
              <w:rPr>
                <w:rFonts w:cs="Arial"/>
                <w:iCs/>
                <w:sz w:val="22"/>
                <w:szCs w:val="22"/>
              </w:rPr>
              <w:t xml:space="preserve">with the same benchmark values </w:t>
            </w:r>
            <w:r w:rsidRPr="003E7E7C">
              <w:rPr>
                <w:rFonts w:cs="Arial"/>
                <w:iCs/>
                <w:sz w:val="22"/>
                <w:szCs w:val="22"/>
              </w:rPr>
              <w:t>within a DUAFG year</w:t>
            </w:r>
            <w:r w:rsidR="00D21E83" w:rsidRPr="003E7E7C">
              <w:rPr>
                <w:rFonts w:cs="Arial"/>
                <w:iCs/>
                <w:sz w:val="22"/>
                <w:szCs w:val="22"/>
              </w:rPr>
              <w:t>, and determine the total reconciliation amount as the sum of the reconciliation amounts for each period.</w:t>
            </w:r>
          </w:p>
        </w:tc>
      </w:tr>
      <w:tr w:rsidR="00BE7857" w:rsidRPr="00663146" w14:paraId="565FFEB5" w14:textId="77777777" w:rsidTr="001A1FB4">
        <w:trPr>
          <w:trHeight w:val="1535"/>
        </w:trPr>
        <w:tc>
          <w:tcPr>
            <w:tcW w:w="3055" w:type="dxa"/>
            <w:shd w:val="clear" w:color="auto" w:fill="auto"/>
          </w:tcPr>
          <w:p w14:paraId="2E871F21" w14:textId="77777777" w:rsidR="00BE7857" w:rsidRPr="00663146" w:rsidRDefault="00466649" w:rsidP="00BE7857">
            <w:pPr>
              <w:pStyle w:val="BlockText"/>
              <w:tabs>
                <w:tab w:val="num" w:pos="1440"/>
              </w:tabs>
              <w:spacing w:after="240"/>
              <w:jc w:val="left"/>
              <w:rPr>
                <w:rFonts w:cs="Arial"/>
                <w:iCs/>
                <w:color w:val="1F497D"/>
                <w:sz w:val="22"/>
                <w:szCs w:val="22"/>
              </w:rPr>
            </w:pPr>
            <w:r>
              <w:rPr>
                <w:rFonts w:cs="Arial"/>
                <w:iCs/>
                <w:color w:val="1F497D"/>
                <w:sz w:val="22"/>
                <w:szCs w:val="22"/>
              </w:rPr>
              <w:lastRenderedPageBreak/>
              <w:t>Cost estimate</w:t>
            </w:r>
            <w:r w:rsidR="00BE7857" w:rsidRPr="00663146">
              <w:rPr>
                <w:rFonts w:cs="Arial"/>
                <w:iCs/>
                <w:color w:val="1F497D"/>
                <w:sz w:val="22"/>
                <w:szCs w:val="22"/>
              </w:rPr>
              <w:t xml:space="preserve"> </w:t>
            </w:r>
            <w:r>
              <w:rPr>
                <w:rFonts w:cs="Arial"/>
                <w:iCs/>
                <w:color w:val="1F497D"/>
                <w:sz w:val="22"/>
                <w:szCs w:val="22"/>
              </w:rPr>
              <w:t>(and/or cost/benefit analysis)</w:t>
            </w:r>
          </w:p>
        </w:tc>
        <w:tc>
          <w:tcPr>
            <w:tcW w:w="6331" w:type="dxa"/>
            <w:shd w:val="clear" w:color="auto" w:fill="auto"/>
          </w:tcPr>
          <w:p w14:paraId="10C1F953" w14:textId="77777777" w:rsidR="00D21E83" w:rsidRPr="003E7E7C" w:rsidRDefault="00D21E83" w:rsidP="00D21E83">
            <w:pPr>
              <w:pStyle w:val="BlockText"/>
              <w:tabs>
                <w:tab w:val="num" w:pos="1440"/>
              </w:tabs>
              <w:spacing w:after="240"/>
              <w:jc w:val="left"/>
              <w:rPr>
                <w:rFonts w:cs="Arial"/>
                <w:iCs/>
                <w:sz w:val="22"/>
                <w:szCs w:val="22"/>
              </w:rPr>
            </w:pPr>
            <w:r w:rsidRPr="003E7E7C">
              <w:rPr>
                <w:rFonts w:cs="Arial"/>
                <w:iCs/>
                <w:sz w:val="22"/>
                <w:szCs w:val="22"/>
              </w:rPr>
              <w:t xml:space="preserve">The cost of implementing these changes is nominal, as AEMO will only need to update internal processes to extract currently available data from market systems.  Market </w:t>
            </w:r>
            <w:r w:rsidR="00517D9F" w:rsidRPr="003E7E7C">
              <w:rPr>
                <w:rFonts w:cs="Arial"/>
                <w:iCs/>
                <w:sz w:val="22"/>
                <w:szCs w:val="22"/>
              </w:rPr>
              <w:t>Participants</w:t>
            </w:r>
            <w:r w:rsidRPr="003E7E7C">
              <w:rPr>
                <w:rFonts w:cs="Arial"/>
                <w:iCs/>
                <w:sz w:val="22"/>
                <w:szCs w:val="22"/>
              </w:rPr>
              <w:t xml:space="preserve"> and Distributors will continue to use the same processes.</w:t>
            </w:r>
          </w:p>
          <w:p w14:paraId="7C86B1CD" w14:textId="472FA950" w:rsidR="00D21E83" w:rsidRPr="003E7E7C" w:rsidRDefault="00D21E83" w:rsidP="00172EC9">
            <w:pPr>
              <w:pStyle w:val="BlockText"/>
              <w:tabs>
                <w:tab w:val="num" w:pos="1440"/>
              </w:tabs>
              <w:spacing w:after="240"/>
              <w:jc w:val="left"/>
              <w:rPr>
                <w:rFonts w:cs="Arial"/>
                <w:iCs/>
                <w:sz w:val="22"/>
                <w:szCs w:val="22"/>
              </w:rPr>
            </w:pPr>
            <w:r w:rsidRPr="003E7E7C">
              <w:rPr>
                <w:rFonts w:cs="Arial"/>
                <w:iCs/>
                <w:sz w:val="22"/>
                <w:szCs w:val="22"/>
              </w:rPr>
              <w:t>As a</w:t>
            </w:r>
            <w:r w:rsidR="00172EC9">
              <w:rPr>
                <w:rFonts w:cs="Arial"/>
                <w:iCs/>
                <w:sz w:val="22"/>
                <w:szCs w:val="22"/>
              </w:rPr>
              <w:t xml:space="preserve"> reasonable</w:t>
            </w:r>
            <w:r w:rsidRPr="003E7E7C">
              <w:rPr>
                <w:rFonts w:cs="Arial"/>
                <w:iCs/>
                <w:sz w:val="22"/>
                <w:szCs w:val="22"/>
              </w:rPr>
              <w:t xml:space="preserve"> AVWMP cannot be determined using the current Procedure</w:t>
            </w:r>
            <w:r w:rsidR="00E623AB" w:rsidRPr="003E7E7C">
              <w:rPr>
                <w:rFonts w:cs="Arial"/>
                <w:iCs/>
                <w:sz w:val="22"/>
                <w:szCs w:val="22"/>
              </w:rPr>
              <w:t xml:space="preserve">, AEMO is unable to determine </w:t>
            </w:r>
            <w:r w:rsidRPr="003E7E7C">
              <w:rPr>
                <w:rFonts w:cs="Arial"/>
                <w:iCs/>
                <w:sz w:val="22"/>
                <w:szCs w:val="22"/>
              </w:rPr>
              <w:t>reconciliation a</w:t>
            </w:r>
            <w:r w:rsidR="00E623AB" w:rsidRPr="003E7E7C">
              <w:rPr>
                <w:rFonts w:cs="Arial"/>
                <w:iCs/>
                <w:sz w:val="22"/>
                <w:szCs w:val="22"/>
              </w:rPr>
              <w:t>mounts without this change.</w:t>
            </w:r>
          </w:p>
        </w:tc>
      </w:tr>
      <w:tr w:rsidR="00BE7857" w:rsidRPr="00663146" w14:paraId="4E88B60F" w14:textId="77777777" w:rsidTr="001A1FB4">
        <w:trPr>
          <w:trHeight w:val="1535"/>
        </w:trPr>
        <w:tc>
          <w:tcPr>
            <w:tcW w:w="3055" w:type="dxa"/>
            <w:shd w:val="clear" w:color="auto" w:fill="auto"/>
          </w:tcPr>
          <w:p w14:paraId="3BBB3BB2" w14:textId="77777777" w:rsidR="00BE7857" w:rsidRPr="00663146" w:rsidRDefault="00BE7857" w:rsidP="00BE7857">
            <w:pPr>
              <w:pStyle w:val="BlockText"/>
              <w:tabs>
                <w:tab w:val="num" w:pos="1440"/>
              </w:tabs>
              <w:spacing w:after="240"/>
              <w:jc w:val="left"/>
              <w:rPr>
                <w:rFonts w:cs="Arial"/>
                <w:iCs/>
                <w:color w:val="1F497D"/>
                <w:sz w:val="22"/>
                <w:szCs w:val="22"/>
              </w:rPr>
            </w:pPr>
            <w:r w:rsidRPr="00663146">
              <w:rPr>
                <w:rFonts w:cs="Arial"/>
                <w:iCs/>
                <w:color w:val="1F497D"/>
                <w:sz w:val="22"/>
                <w:szCs w:val="22"/>
              </w:rPr>
              <w:t xml:space="preserve">The likely implementation effect of the change(s) on stakeholders </w:t>
            </w:r>
          </w:p>
          <w:p w14:paraId="18EE029E" w14:textId="77777777" w:rsidR="00BE7857" w:rsidRPr="00663146" w:rsidRDefault="00BE7857" w:rsidP="00BE7857">
            <w:pPr>
              <w:pStyle w:val="BlockText"/>
              <w:tabs>
                <w:tab w:val="num" w:pos="1440"/>
              </w:tabs>
              <w:spacing w:after="240"/>
              <w:jc w:val="left"/>
              <w:rPr>
                <w:rFonts w:cs="Arial"/>
                <w:iCs/>
                <w:color w:val="1F497D"/>
                <w:sz w:val="22"/>
                <w:szCs w:val="22"/>
              </w:rPr>
            </w:pPr>
          </w:p>
        </w:tc>
        <w:tc>
          <w:tcPr>
            <w:tcW w:w="6331" w:type="dxa"/>
            <w:shd w:val="clear" w:color="auto" w:fill="auto"/>
          </w:tcPr>
          <w:p w14:paraId="7DE730E6" w14:textId="77777777" w:rsidR="00E623AB" w:rsidRPr="003E7E7C" w:rsidRDefault="00D21E83" w:rsidP="00BE7857">
            <w:pPr>
              <w:pStyle w:val="BlockText"/>
              <w:tabs>
                <w:tab w:val="num" w:pos="1440"/>
              </w:tabs>
              <w:spacing w:after="240"/>
              <w:jc w:val="left"/>
              <w:rPr>
                <w:rFonts w:cs="Arial"/>
                <w:iCs/>
                <w:sz w:val="22"/>
                <w:szCs w:val="22"/>
              </w:rPr>
            </w:pPr>
            <w:r w:rsidRPr="003E7E7C">
              <w:rPr>
                <w:rFonts w:cs="Arial"/>
                <w:iCs/>
                <w:sz w:val="22"/>
                <w:szCs w:val="22"/>
              </w:rPr>
              <w:t xml:space="preserve">The change to a deviation price based formula aligns with the impact on market </w:t>
            </w:r>
            <w:r w:rsidR="00517D9F" w:rsidRPr="003E7E7C">
              <w:rPr>
                <w:rFonts w:cs="Arial"/>
                <w:iCs/>
                <w:sz w:val="22"/>
                <w:szCs w:val="22"/>
              </w:rPr>
              <w:t>participants</w:t>
            </w:r>
            <w:r w:rsidRPr="003E7E7C">
              <w:rPr>
                <w:rFonts w:cs="Arial"/>
                <w:iCs/>
                <w:sz w:val="22"/>
                <w:szCs w:val="22"/>
              </w:rPr>
              <w:t xml:space="preserve"> if actual UAFG is different to benchmark UAFG</w:t>
            </w:r>
            <w:r w:rsidR="00E623AB" w:rsidRPr="003E7E7C">
              <w:rPr>
                <w:rFonts w:cs="Arial"/>
                <w:iCs/>
                <w:sz w:val="22"/>
                <w:szCs w:val="22"/>
              </w:rPr>
              <w:t>.</w:t>
            </w:r>
          </w:p>
          <w:p w14:paraId="294BEF07" w14:textId="77777777" w:rsidR="00D21E83" w:rsidRPr="003E7E7C" w:rsidRDefault="00E623AB" w:rsidP="00BE7857">
            <w:pPr>
              <w:pStyle w:val="BlockText"/>
              <w:tabs>
                <w:tab w:val="num" w:pos="1440"/>
              </w:tabs>
              <w:spacing w:after="240"/>
              <w:jc w:val="left"/>
              <w:rPr>
                <w:rFonts w:cs="Arial"/>
                <w:iCs/>
                <w:sz w:val="22"/>
                <w:szCs w:val="22"/>
              </w:rPr>
            </w:pPr>
            <w:r w:rsidRPr="003E7E7C">
              <w:rPr>
                <w:rFonts w:cs="Arial"/>
                <w:iCs/>
                <w:sz w:val="22"/>
                <w:szCs w:val="22"/>
              </w:rPr>
              <w:t xml:space="preserve">Under NGR </w:t>
            </w:r>
            <w:r w:rsidR="0060203D">
              <w:rPr>
                <w:rFonts w:cs="Arial"/>
                <w:iCs/>
                <w:sz w:val="22"/>
                <w:szCs w:val="22"/>
              </w:rPr>
              <w:t xml:space="preserve">rule </w:t>
            </w:r>
            <w:r w:rsidRPr="003E7E7C">
              <w:rPr>
                <w:rFonts w:cs="Arial"/>
                <w:iCs/>
                <w:sz w:val="22"/>
                <w:szCs w:val="22"/>
              </w:rPr>
              <w:t xml:space="preserve">211 market participants must forecast their UAFG adjusted consumption, and under NGR </w:t>
            </w:r>
            <w:r w:rsidR="0060203D">
              <w:rPr>
                <w:rFonts w:cs="Arial"/>
                <w:iCs/>
                <w:sz w:val="22"/>
                <w:szCs w:val="22"/>
              </w:rPr>
              <w:t xml:space="preserve">rule </w:t>
            </w:r>
            <w:r w:rsidRPr="003E7E7C">
              <w:rPr>
                <w:rFonts w:cs="Arial"/>
                <w:iCs/>
                <w:sz w:val="22"/>
                <w:szCs w:val="22"/>
              </w:rPr>
              <w:t xml:space="preserve">235 </w:t>
            </w:r>
            <w:r w:rsidR="00DA42E3" w:rsidRPr="003E7E7C">
              <w:rPr>
                <w:rFonts w:cs="Arial"/>
                <w:iCs/>
                <w:sz w:val="22"/>
                <w:szCs w:val="22"/>
              </w:rPr>
              <w:t xml:space="preserve">are subject to </w:t>
            </w:r>
            <w:r w:rsidRPr="003E7E7C">
              <w:rPr>
                <w:rFonts w:cs="Arial"/>
                <w:iCs/>
                <w:sz w:val="22"/>
                <w:szCs w:val="22"/>
              </w:rPr>
              <w:t xml:space="preserve">a deviation payment for </w:t>
            </w:r>
            <w:r w:rsidR="00DA42E3" w:rsidRPr="003E7E7C">
              <w:rPr>
                <w:rFonts w:cs="Arial"/>
                <w:iCs/>
                <w:sz w:val="22"/>
                <w:szCs w:val="22"/>
              </w:rPr>
              <w:t>differences (or deviations) between their forecast uncontrollable demand and actual UAFG adjusted uncontrollable consumption.</w:t>
            </w:r>
          </w:p>
          <w:p w14:paraId="611DA29A" w14:textId="40E0C3FF" w:rsidR="003369FB" w:rsidRPr="003E7E7C" w:rsidRDefault="00DA42E3" w:rsidP="00517D9F">
            <w:pPr>
              <w:pStyle w:val="BlockText"/>
              <w:tabs>
                <w:tab w:val="num" w:pos="1440"/>
              </w:tabs>
              <w:spacing w:after="240"/>
              <w:jc w:val="left"/>
              <w:rPr>
                <w:rFonts w:cs="Arial"/>
                <w:iCs/>
                <w:sz w:val="22"/>
                <w:szCs w:val="22"/>
              </w:rPr>
            </w:pPr>
            <w:r w:rsidRPr="003E7E7C">
              <w:rPr>
                <w:rFonts w:cs="Arial"/>
                <w:iCs/>
                <w:sz w:val="22"/>
                <w:szCs w:val="22"/>
              </w:rPr>
              <w:t>Some distributors have concerns that a</w:t>
            </w:r>
            <w:r w:rsidR="003369FB" w:rsidRPr="003E7E7C">
              <w:rPr>
                <w:rFonts w:cs="Arial"/>
                <w:iCs/>
                <w:sz w:val="22"/>
                <w:szCs w:val="22"/>
              </w:rPr>
              <w:t>n</w:t>
            </w:r>
            <w:r w:rsidRPr="003E7E7C">
              <w:rPr>
                <w:rFonts w:cs="Arial"/>
                <w:iCs/>
                <w:sz w:val="22"/>
                <w:szCs w:val="22"/>
              </w:rPr>
              <w:t xml:space="preserve"> AVWMP determined using deviation prices will be more volatile and less predictable than </w:t>
            </w:r>
            <w:r w:rsidR="00172EC9">
              <w:rPr>
                <w:rFonts w:cs="Arial"/>
                <w:iCs/>
                <w:sz w:val="22"/>
                <w:szCs w:val="22"/>
              </w:rPr>
              <w:t xml:space="preserve">under </w:t>
            </w:r>
            <w:r w:rsidRPr="003E7E7C">
              <w:rPr>
                <w:rFonts w:cs="Arial"/>
                <w:iCs/>
                <w:sz w:val="22"/>
                <w:szCs w:val="22"/>
              </w:rPr>
              <w:t>AVWMP formulae used</w:t>
            </w:r>
            <w:r w:rsidR="008A47FC">
              <w:rPr>
                <w:rFonts w:cs="Arial"/>
                <w:iCs/>
                <w:sz w:val="22"/>
                <w:szCs w:val="22"/>
              </w:rPr>
              <w:t xml:space="preserve"> to date</w:t>
            </w:r>
            <w:r w:rsidRPr="003E7E7C">
              <w:rPr>
                <w:rFonts w:cs="Arial"/>
                <w:iCs/>
                <w:sz w:val="22"/>
                <w:szCs w:val="22"/>
              </w:rPr>
              <w:t>.</w:t>
            </w:r>
            <w:r w:rsidR="00517D9F" w:rsidRPr="003E7E7C">
              <w:rPr>
                <w:rFonts w:cs="Arial"/>
                <w:iCs/>
                <w:sz w:val="22"/>
                <w:szCs w:val="22"/>
              </w:rPr>
              <w:t xml:space="preserve"> This may impact on their ability to determine  pricing accurately while setting access arrangements.  </w:t>
            </w:r>
          </w:p>
          <w:p w14:paraId="48F3DD97" w14:textId="09CBE0A9" w:rsidR="00BE7857" w:rsidRPr="003E7E7C" w:rsidRDefault="008A47FC" w:rsidP="008A47FC">
            <w:pPr>
              <w:pStyle w:val="BlockText"/>
              <w:tabs>
                <w:tab w:val="num" w:pos="1440"/>
              </w:tabs>
              <w:spacing w:after="240"/>
              <w:jc w:val="left"/>
              <w:rPr>
                <w:rFonts w:cs="Arial"/>
                <w:iCs/>
                <w:sz w:val="22"/>
                <w:szCs w:val="22"/>
              </w:rPr>
            </w:pPr>
            <w:r w:rsidRPr="008A47FC">
              <w:rPr>
                <w:rFonts w:cs="Arial"/>
                <w:iCs/>
                <w:sz w:val="22"/>
                <w:szCs w:val="22"/>
              </w:rPr>
              <w:t>If the variation results in the distributor’s revenue requirement exceeding the the maximum approved by the AER, distributors may apply to vary their access</w:t>
            </w:r>
            <w:r w:rsidR="00517D9F" w:rsidRPr="003E7E7C">
              <w:rPr>
                <w:rFonts w:cs="Arial"/>
                <w:iCs/>
                <w:sz w:val="22"/>
                <w:szCs w:val="22"/>
              </w:rPr>
              <w:t xml:space="preserve">.  </w:t>
            </w:r>
          </w:p>
        </w:tc>
      </w:tr>
      <w:tr w:rsidR="00BE7857" w:rsidRPr="00663146" w14:paraId="03311941" w14:textId="77777777" w:rsidTr="00DA42E3">
        <w:tc>
          <w:tcPr>
            <w:tcW w:w="3055" w:type="dxa"/>
            <w:shd w:val="clear" w:color="auto" w:fill="auto"/>
          </w:tcPr>
          <w:p w14:paraId="6DBD2CDF" w14:textId="77777777" w:rsidR="00BE7857" w:rsidRPr="00663146" w:rsidRDefault="00BE7857" w:rsidP="00BE7857">
            <w:pPr>
              <w:pStyle w:val="BlockText"/>
              <w:tabs>
                <w:tab w:val="num" w:pos="1440"/>
              </w:tabs>
              <w:spacing w:after="240"/>
              <w:jc w:val="left"/>
              <w:rPr>
                <w:rFonts w:cs="Arial"/>
                <w:iCs/>
                <w:color w:val="1F497D"/>
                <w:sz w:val="22"/>
                <w:szCs w:val="22"/>
              </w:rPr>
            </w:pPr>
            <w:r w:rsidRPr="00663146">
              <w:rPr>
                <w:rFonts w:cs="Arial"/>
                <w:iCs/>
                <w:color w:val="1F497D"/>
                <w:sz w:val="22"/>
                <w:szCs w:val="22"/>
              </w:rPr>
              <w:t>Testing requirements</w:t>
            </w:r>
          </w:p>
        </w:tc>
        <w:tc>
          <w:tcPr>
            <w:tcW w:w="6331" w:type="dxa"/>
            <w:shd w:val="clear" w:color="auto" w:fill="auto"/>
          </w:tcPr>
          <w:p w14:paraId="0D6F5589" w14:textId="77777777" w:rsidR="00BE7857" w:rsidRPr="003E7E7C" w:rsidRDefault="00DA42E3" w:rsidP="00BE7857">
            <w:pPr>
              <w:pStyle w:val="BlockText"/>
              <w:tabs>
                <w:tab w:val="num" w:pos="1440"/>
              </w:tabs>
              <w:spacing w:after="240"/>
              <w:jc w:val="left"/>
              <w:rPr>
                <w:rFonts w:cs="Arial"/>
                <w:iCs/>
                <w:sz w:val="22"/>
                <w:szCs w:val="22"/>
              </w:rPr>
            </w:pPr>
            <w:r w:rsidRPr="003E7E7C">
              <w:rPr>
                <w:rFonts w:cs="Arial"/>
                <w:iCs/>
                <w:sz w:val="22"/>
                <w:szCs w:val="22"/>
              </w:rPr>
              <w:t>None</w:t>
            </w:r>
          </w:p>
        </w:tc>
      </w:tr>
      <w:tr w:rsidR="00BE7857" w:rsidRPr="00663146" w14:paraId="3D68C99B" w14:textId="77777777" w:rsidTr="001A1FB4">
        <w:trPr>
          <w:trHeight w:val="1535"/>
        </w:trPr>
        <w:tc>
          <w:tcPr>
            <w:tcW w:w="3055" w:type="dxa"/>
            <w:shd w:val="clear" w:color="auto" w:fill="auto"/>
          </w:tcPr>
          <w:p w14:paraId="0DA273BC" w14:textId="77777777" w:rsidR="00BE7857" w:rsidRPr="00663146" w:rsidRDefault="00BE7857" w:rsidP="00BE7857">
            <w:pPr>
              <w:pStyle w:val="BlockText"/>
              <w:tabs>
                <w:tab w:val="num" w:pos="1440"/>
              </w:tabs>
              <w:spacing w:after="240"/>
              <w:jc w:val="left"/>
              <w:rPr>
                <w:rFonts w:cs="Arial"/>
                <w:iCs/>
                <w:color w:val="1F497D"/>
                <w:sz w:val="22"/>
                <w:szCs w:val="22"/>
              </w:rPr>
            </w:pPr>
            <w:r w:rsidRPr="00663146">
              <w:rPr>
                <w:rFonts w:cs="Arial"/>
                <w:iCs/>
                <w:color w:val="1F497D"/>
                <w:sz w:val="22"/>
                <w:szCs w:val="22"/>
              </w:rPr>
              <w:t>AEMO's preliminary assessment of the proposal's compliance with section 135EB:</w:t>
            </w:r>
          </w:p>
          <w:p w14:paraId="2C3EB1B7" w14:textId="77777777" w:rsidR="00BE7857" w:rsidRPr="00663146" w:rsidRDefault="00BE7857" w:rsidP="00BE7857">
            <w:pPr>
              <w:pStyle w:val="BlockText"/>
              <w:tabs>
                <w:tab w:val="num" w:pos="1440"/>
              </w:tabs>
              <w:spacing w:after="240"/>
              <w:jc w:val="left"/>
              <w:rPr>
                <w:rFonts w:cs="Arial"/>
                <w:iCs/>
                <w:color w:val="1F497D"/>
                <w:sz w:val="22"/>
                <w:szCs w:val="22"/>
              </w:rPr>
            </w:pPr>
          </w:p>
        </w:tc>
        <w:tc>
          <w:tcPr>
            <w:tcW w:w="6331" w:type="dxa"/>
            <w:shd w:val="clear" w:color="auto" w:fill="auto"/>
          </w:tcPr>
          <w:p w14:paraId="7C348FB8" w14:textId="77777777" w:rsidR="00466649" w:rsidRPr="006B68C4" w:rsidRDefault="003E7E7C" w:rsidP="00466649">
            <w:pPr>
              <w:pStyle w:val="BlockText"/>
              <w:tabs>
                <w:tab w:val="num" w:pos="1440"/>
              </w:tabs>
              <w:spacing w:after="60"/>
              <w:jc w:val="left"/>
              <w:rPr>
                <w:rFonts w:cs="Arial"/>
                <w:b/>
                <w:iCs/>
                <w:sz w:val="22"/>
                <w:szCs w:val="22"/>
              </w:rPr>
            </w:pPr>
            <w:r w:rsidRPr="006B68C4">
              <w:rPr>
                <w:rFonts w:cs="Arial"/>
                <w:b/>
                <w:iCs/>
                <w:sz w:val="22"/>
                <w:szCs w:val="22"/>
              </w:rPr>
              <w:t>Consistency with NGL</w:t>
            </w:r>
          </w:p>
          <w:p w14:paraId="077A88AC" w14:textId="77777777" w:rsidR="003E7E7C" w:rsidRDefault="003E7E7C" w:rsidP="00CC75C4">
            <w:pPr>
              <w:pStyle w:val="BlockText"/>
              <w:tabs>
                <w:tab w:val="num" w:pos="1440"/>
              </w:tabs>
              <w:spacing w:after="240"/>
              <w:jc w:val="left"/>
              <w:rPr>
                <w:rFonts w:cs="Arial"/>
                <w:iCs/>
                <w:sz w:val="22"/>
                <w:szCs w:val="22"/>
              </w:rPr>
            </w:pPr>
            <w:r>
              <w:rPr>
                <w:rFonts w:cs="Arial"/>
                <w:iCs/>
                <w:sz w:val="22"/>
                <w:szCs w:val="22"/>
              </w:rPr>
              <w:t>Section 91BL of the NGL allows AEMO to make Wholesale Market Procedures.</w:t>
            </w:r>
          </w:p>
          <w:p w14:paraId="02D9E7A9" w14:textId="77777777" w:rsidR="003E7E7C" w:rsidRDefault="003E7E7C" w:rsidP="00CC75C4">
            <w:pPr>
              <w:pStyle w:val="BlockText"/>
              <w:tabs>
                <w:tab w:val="num" w:pos="1440"/>
              </w:tabs>
              <w:spacing w:after="240"/>
              <w:jc w:val="left"/>
              <w:rPr>
                <w:rFonts w:cs="Arial"/>
                <w:iCs/>
                <w:sz w:val="22"/>
                <w:szCs w:val="22"/>
              </w:rPr>
            </w:pPr>
            <w:r>
              <w:rPr>
                <w:rFonts w:cs="Arial"/>
                <w:iCs/>
                <w:sz w:val="22"/>
                <w:szCs w:val="22"/>
              </w:rPr>
              <w:t>Section 91BM(2)(a) allows Wholesale Market Procedures to deal with matters specified by the Rules.</w:t>
            </w:r>
          </w:p>
          <w:p w14:paraId="7C98E235" w14:textId="77777777" w:rsidR="003E7E7C" w:rsidRPr="006B68C4" w:rsidRDefault="003E7E7C" w:rsidP="003E7E7C">
            <w:pPr>
              <w:pStyle w:val="BlockText"/>
              <w:tabs>
                <w:tab w:val="num" w:pos="1440"/>
              </w:tabs>
              <w:spacing w:after="60"/>
              <w:jc w:val="left"/>
              <w:rPr>
                <w:rFonts w:cs="Arial"/>
                <w:b/>
                <w:iCs/>
                <w:sz w:val="22"/>
                <w:szCs w:val="22"/>
              </w:rPr>
            </w:pPr>
            <w:r w:rsidRPr="006B68C4">
              <w:rPr>
                <w:rFonts w:cs="Arial"/>
                <w:b/>
                <w:iCs/>
                <w:sz w:val="22"/>
                <w:szCs w:val="22"/>
              </w:rPr>
              <w:t>Consistency with NGR</w:t>
            </w:r>
          </w:p>
          <w:p w14:paraId="102B04B8" w14:textId="77777777" w:rsidR="006B68C4" w:rsidRDefault="006B68C4" w:rsidP="00CC75C4">
            <w:pPr>
              <w:pStyle w:val="BlockText"/>
              <w:tabs>
                <w:tab w:val="num" w:pos="1440"/>
              </w:tabs>
              <w:spacing w:after="240"/>
              <w:jc w:val="left"/>
              <w:rPr>
                <w:rFonts w:cs="Arial"/>
                <w:iCs/>
                <w:sz w:val="22"/>
                <w:szCs w:val="22"/>
              </w:rPr>
            </w:pPr>
            <w:r>
              <w:rPr>
                <w:rFonts w:cs="Arial"/>
                <w:iCs/>
                <w:sz w:val="22"/>
                <w:szCs w:val="22"/>
              </w:rPr>
              <w:t>Part 15B rule 135EA(2)(k) allows Wholesale Market Procedures to deal with unaccounted for gas.</w:t>
            </w:r>
          </w:p>
          <w:p w14:paraId="5D60BBD1" w14:textId="7F8BF87C" w:rsidR="003E7E7C" w:rsidRDefault="006B68C4" w:rsidP="00CC75C4">
            <w:pPr>
              <w:pStyle w:val="BlockText"/>
              <w:tabs>
                <w:tab w:val="num" w:pos="1440"/>
              </w:tabs>
              <w:spacing w:after="240"/>
              <w:jc w:val="left"/>
              <w:rPr>
                <w:rFonts w:cs="Arial"/>
                <w:iCs/>
                <w:sz w:val="22"/>
                <w:szCs w:val="22"/>
              </w:rPr>
            </w:pPr>
            <w:r>
              <w:rPr>
                <w:rFonts w:cs="Arial"/>
                <w:iCs/>
                <w:sz w:val="22"/>
                <w:szCs w:val="22"/>
              </w:rPr>
              <w:t xml:space="preserve">Part 19 rule 317 requires AEMO to make Distribution UAFG </w:t>
            </w:r>
            <w:r w:rsidR="0060203D">
              <w:rPr>
                <w:rFonts w:cs="Arial"/>
                <w:iCs/>
                <w:sz w:val="22"/>
                <w:szCs w:val="22"/>
              </w:rPr>
              <w:t xml:space="preserve">Procedures </w:t>
            </w:r>
            <w:r>
              <w:rPr>
                <w:rFonts w:cs="Arial"/>
                <w:iCs/>
                <w:sz w:val="22"/>
                <w:szCs w:val="22"/>
              </w:rPr>
              <w:t xml:space="preserve">that calculate gas unaccounted for in a declared distribution systems and determine the payments to be made </w:t>
            </w:r>
            <w:r>
              <w:rPr>
                <w:rFonts w:cs="Arial"/>
                <w:iCs/>
                <w:sz w:val="22"/>
                <w:szCs w:val="22"/>
              </w:rPr>
              <w:lastRenderedPageBreak/>
              <w:t>between a Retailer and a Distributor.</w:t>
            </w:r>
            <w:r w:rsidR="006E0B69">
              <w:rPr>
                <w:rFonts w:cs="Arial"/>
                <w:iCs/>
                <w:sz w:val="22"/>
                <w:szCs w:val="22"/>
              </w:rPr>
              <w:t xml:space="preserve">  This rule does not set out any other </w:t>
            </w:r>
            <w:r w:rsidR="000F0DDB">
              <w:rPr>
                <w:rFonts w:cs="Arial"/>
                <w:iCs/>
                <w:sz w:val="22"/>
                <w:szCs w:val="22"/>
              </w:rPr>
              <w:t xml:space="preserve">requirements </w:t>
            </w:r>
            <w:r w:rsidR="006E0B69">
              <w:rPr>
                <w:rFonts w:cs="Arial"/>
                <w:iCs/>
                <w:sz w:val="22"/>
                <w:szCs w:val="22"/>
              </w:rPr>
              <w:t>applicable to the Procedure.</w:t>
            </w:r>
          </w:p>
          <w:p w14:paraId="63122ADF" w14:textId="77777777" w:rsidR="006B68C4" w:rsidRPr="006B68C4" w:rsidRDefault="006E0B69" w:rsidP="00466649">
            <w:pPr>
              <w:pStyle w:val="BlockText"/>
              <w:tabs>
                <w:tab w:val="num" w:pos="1440"/>
              </w:tabs>
              <w:spacing w:after="60"/>
              <w:jc w:val="left"/>
              <w:rPr>
                <w:rFonts w:cs="Arial"/>
                <w:b/>
                <w:iCs/>
                <w:sz w:val="22"/>
                <w:szCs w:val="22"/>
              </w:rPr>
            </w:pPr>
            <w:r>
              <w:rPr>
                <w:rFonts w:cs="Arial"/>
                <w:b/>
                <w:iCs/>
                <w:sz w:val="22"/>
                <w:szCs w:val="22"/>
              </w:rPr>
              <w:t>Appropriate having regard to</w:t>
            </w:r>
            <w:r w:rsidR="006B68C4" w:rsidRPr="006B68C4">
              <w:rPr>
                <w:rFonts w:cs="Arial"/>
                <w:b/>
                <w:iCs/>
                <w:sz w:val="22"/>
                <w:szCs w:val="22"/>
              </w:rPr>
              <w:t xml:space="preserve"> </w:t>
            </w:r>
            <w:r>
              <w:rPr>
                <w:rFonts w:cs="Arial"/>
                <w:b/>
                <w:iCs/>
                <w:sz w:val="22"/>
                <w:szCs w:val="22"/>
              </w:rPr>
              <w:t xml:space="preserve">the </w:t>
            </w:r>
            <w:r w:rsidR="006B68C4" w:rsidRPr="006B68C4">
              <w:rPr>
                <w:rFonts w:cs="Arial"/>
                <w:b/>
                <w:iCs/>
                <w:sz w:val="22"/>
                <w:szCs w:val="22"/>
              </w:rPr>
              <w:t>National Gas Objective</w:t>
            </w:r>
          </w:p>
          <w:p w14:paraId="4B03A712" w14:textId="77777777" w:rsidR="006B68C4" w:rsidRPr="006B68C4" w:rsidRDefault="006B68C4" w:rsidP="00CC75C4">
            <w:pPr>
              <w:pStyle w:val="BlockText"/>
              <w:tabs>
                <w:tab w:val="num" w:pos="1440"/>
              </w:tabs>
              <w:spacing w:after="240"/>
              <w:jc w:val="left"/>
              <w:rPr>
                <w:rFonts w:cs="Arial"/>
                <w:iCs/>
                <w:sz w:val="22"/>
                <w:szCs w:val="22"/>
              </w:rPr>
            </w:pPr>
            <w:r>
              <w:rPr>
                <w:rFonts w:cs="Arial"/>
                <w:iCs/>
                <w:sz w:val="22"/>
                <w:szCs w:val="22"/>
              </w:rPr>
              <w:t>NGL Part 3 Division 1 section 23 states the National Gas Objective</w:t>
            </w:r>
            <w:r w:rsidR="006E0B69">
              <w:rPr>
                <w:rFonts w:cs="Arial"/>
                <w:iCs/>
                <w:sz w:val="22"/>
                <w:szCs w:val="22"/>
              </w:rPr>
              <w:t xml:space="preserve"> as being:</w:t>
            </w:r>
          </w:p>
          <w:p w14:paraId="662D3341" w14:textId="77777777" w:rsidR="006B68C4" w:rsidRPr="006B68C4" w:rsidRDefault="006B68C4" w:rsidP="00466649">
            <w:pPr>
              <w:pStyle w:val="BlockText"/>
              <w:tabs>
                <w:tab w:val="num" w:pos="1440"/>
              </w:tabs>
              <w:spacing w:after="60"/>
              <w:jc w:val="left"/>
              <w:rPr>
                <w:rFonts w:cs="Arial"/>
                <w:i/>
                <w:iCs/>
                <w:sz w:val="22"/>
                <w:szCs w:val="22"/>
              </w:rPr>
            </w:pPr>
            <w:r>
              <w:rPr>
                <w:rFonts w:cs="Arial"/>
                <w:i/>
                <w:iCs/>
                <w:sz w:val="22"/>
                <w:szCs w:val="22"/>
              </w:rPr>
              <w:t>“…</w:t>
            </w:r>
            <w:r w:rsidRPr="006B68C4">
              <w:rPr>
                <w:rFonts w:cs="Arial"/>
                <w:i/>
                <w:iCs/>
                <w:sz w:val="22"/>
                <w:szCs w:val="22"/>
              </w:rPr>
              <w:t xml:space="preserve"> to promote efficient investment in, and efficient operation and use of, natural gas services for the long term interests of consumers of natural gas with respect to price, quality, safety, reliability and security of supply of natural gas</w:t>
            </w:r>
            <w:r>
              <w:rPr>
                <w:rFonts w:cs="Arial"/>
                <w:i/>
                <w:iCs/>
                <w:sz w:val="22"/>
                <w:szCs w:val="22"/>
              </w:rPr>
              <w:t>.”</w:t>
            </w:r>
          </w:p>
          <w:p w14:paraId="6F143D05" w14:textId="37C89BCB" w:rsidR="006B68C4" w:rsidRPr="003E7E7C" w:rsidRDefault="006B68C4" w:rsidP="00CC75C4">
            <w:pPr>
              <w:pStyle w:val="BlockText"/>
              <w:tabs>
                <w:tab w:val="num" w:pos="1440"/>
              </w:tabs>
              <w:spacing w:after="240"/>
              <w:jc w:val="left"/>
              <w:rPr>
                <w:rFonts w:cs="Arial"/>
                <w:iCs/>
                <w:sz w:val="22"/>
                <w:szCs w:val="22"/>
              </w:rPr>
            </w:pPr>
            <w:r>
              <w:rPr>
                <w:rFonts w:cs="Arial"/>
                <w:iCs/>
                <w:sz w:val="22"/>
                <w:szCs w:val="22"/>
              </w:rPr>
              <w:t>These changes pro</w:t>
            </w:r>
            <w:r w:rsidR="006E0B69">
              <w:rPr>
                <w:rFonts w:cs="Arial"/>
                <w:iCs/>
                <w:sz w:val="22"/>
                <w:szCs w:val="22"/>
              </w:rPr>
              <w:t xml:space="preserve">mote the efficient operation and use of natural gas services by allowing AVWMP to be determined in a way that reflects the costs to market particpants in the </w:t>
            </w:r>
            <w:r w:rsidR="00172EC9">
              <w:rPr>
                <w:rFonts w:cs="Arial"/>
                <w:iCs/>
                <w:sz w:val="22"/>
                <w:szCs w:val="22"/>
              </w:rPr>
              <w:t xml:space="preserve">declared </w:t>
            </w:r>
            <w:r w:rsidR="006E0B69">
              <w:rPr>
                <w:rFonts w:cs="Arial"/>
                <w:iCs/>
                <w:sz w:val="22"/>
                <w:szCs w:val="22"/>
              </w:rPr>
              <w:t>wholesale gas market when actual UAFG is different to benchmark UAFG.</w:t>
            </w:r>
          </w:p>
          <w:p w14:paraId="7675E50B" w14:textId="77777777" w:rsidR="00BE7857" w:rsidRPr="006E0B69" w:rsidRDefault="006E0B69" w:rsidP="006E0B69">
            <w:pPr>
              <w:pStyle w:val="BlockText"/>
              <w:tabs>
                <w:tab w:val="num" w:pos="1440"/>
              </w:tabs>
              <w:spacing w:after="60"/>
              <w:jc w:val="left"/>
              <w:rPr>
                <w:rFonts w:cs="Arial"/>
                <w:b/>
                <w:iCs/>
                <w:sz w:val="22"/>
                <w:szCs w:val="22"/>
              </w:rPr>
            </w:pPr>
            <w:r w:rsidRPr="006E0B69">
              <w:rPr>
                <w:rFonts w:cs="Arial"/>
                <w:b/>
                <w:iCs/>
                <w:sz w:val="22"/>
                <w:szCs w:val="22"/>
              </w:rPr>
              <w:t xml:space="preserve">Appropriate having regard </w:t>
            </w:r>
            <w:r w:rsidR="00466649" w:rsidRPr="006E0B69">
              <w:rPr>
                <w:rFonts w:cs="Arial"/>
                <w:b/>
                <w:iCs/>
                <w:sz w:val="22"/>
                <w:szCs w:val="22"/>
              </w:rPr>
              <w:t>to any applicable access arrangements</w:t>
            </w:r>
          </w:p>
          <w:p w14:paraId="23E0DD7F" w14:textId="77777777" w:rsidR="006E0B69" w:rsidRDefault="006E0B69" w:rsidP="00CC75C4">
            <w:pPr>
              <w:pStyle w:val="BlockText"/>
              <w:tabs>
                <w:tab w:val="num" w:pos="1440"/>
              </w:tabs>
              <w:spacing w:after="240"/>
              <w:jc w:val="left"/>
              <w:rPr>
                <w:rFonts w:cs="Arial"/>
                <w:iCs/>
                <w:sz w:val="22"/>
                <w:szCs w:val="22"/>
              </w:rPr>
            </w:pPr>
            <w:r>
              <w:rPr>
                <w:rFonts w:cs="Arial"/>
                <w:iCs/>
                <w:sz w:val="22"/>
                <w:szCs w:val="22"/>
              </w:rPr>
              <w:t>As the procedure is a Wholesale Market Procedure, rule 135EB(2) requiring AEMO to have regard to applicable access arrangements does not apply.</w:t>
            </w:r>
          </w:p>
          <w:p w14:paraId="049E066A" w14:textId="6EFC3357" w:rsidR="006E0B69" w:rsidRPr="003E7E7C" w:rsidRDefault="006E0B69" w:rsidP="00172EC9">
            <w:pPr>
              <w:pStyle w:val="BlockText"/>
              <w:tabs>
                <w:tab w:val="num" w:pos="1440"/>
              </w:tabs>
              <w:spacing w:after="240"/>
              <w:jc w:val="left"/>
              <w:rPr>
                <w:rFonts w:cs="Arial"/>
                <w:iCs/>
                <w:sz w:val="22"/>
                <w:szCs w:val="22"/>
              </w:rPr>
            </w:pPr>
            <w:r>
              <w:rPr>
                <w:rFonts w:cs="Arial"/>
                <w:iCs/>
                <w:sz w:val="22"/>
                <w:szCs w:val="22"/>
              </w:rPr>
              <w:t xml:space="preserve">However, the </w:t>
            </w:r>
            <w:r w:rsidR="00172EC9">
              <w:rPr>
                <w:rFonts w:cs="Arial"/>
                <w:iCs/>
                <w:sz w:val="22"/>
                <w:szCs w:val="22"/>
              </w:rPr>
              <w:t xml:space="preserve">amended </w:t>
            </w:r>
            <w:r>
              <w:rPr>
                <w:rFonts w:cs="Arial"/>
                <w:iCs/>
                <w:sz w:val="22"/>
                <w:szCs w:val="22"/>
              </w:rPr>
              <w:t xml:space="preserve">Procedure </w:t>
            </w:r>
            <w:r w:rsidR="00172EC9">
              <w:rPr>
                <w:rFonts w:cs="Arial"/>
                <w:iCs/>
                <w:sz w:val="22"/>
                <w:szCs w:val="22"/>
              </w:rPr>
              <w:t xml:space="preserve">will </w:t>
            </w:r>
            <w:r>
              <w:rPr>
                <w:rFonts w:cs="Arial"/>
                <w:iCs/>
                <w:sz w:val="22"/>
                <w:szCs w:val="22"/>
              </w:rPr>
              <w:t xml:space="preserve">align with the </w:t>
            </w:r>
            <w:r w:rsidR="00172EC9">
              <w:rPr>
                <w:rFonts w:cs="Arial"/>
                <w:iCs/>
                <w:sz w:val="22"/>
                <w:szCs w:val="22"/>
              </w:rPr>
              <w:t xml:space="preserve">Victorian Gas Distribution System </w:t>
            </w:r>
            <w:r w:rsidR="00BB3702">
              <w:rPr>
                <w:rFonts w:cs="Arial"/>
                <w:iCs/>
                <w:sz w:val="22"/>
                <w:szCs w:val="22"/>
              </w:rPr>
              <w:t>Code applicable to declared distribution system access arrangements.</w:t>
            </w:r>
            <w:r>
              <w:rPr>
                <w:rFonts w:cs="Arial"/>
                <w:iCs/>
                <w:sz w:val="22"/>
                <w:szCs w:val="22"/>
              </w:rPr>
              <w:t xml:space="preserve"> </w:t>
            </w:r>
          </w:p>
        </w:tc>
      </w:tr>
      <w:tr w:rsidR="00FA07C4" w:rsidRPr="00663146" w14:paraId="7B4B3783" w14:textId="77777777" w:rsidTr="001A1FB4">
        <w:trPr>
          <w:trHeight w:val="1535"/>
        </w:trPr>
        <w:tc>
          <w:tcPr>
            <w:tcW w:w="3055" w:type="dxa"/>
            <w:shd w:val="clear" w:color="auto" w:fill="auto"/>
          </w:tcPr>
          <w:p w14:paraId="780B0284" w14:textId="77777777" w:rsidR="00FA07C4" w:rsidRPr="00663146" w:rsidRDefault="00FA07C4" w:rsidP="00BE7857">
            <w:pPr>
              <w:pStyle w:val="BlockText"/>
              <w:tabs>
                <w:tab w:val="num" w:pos="1440"/>
              </w:tabs>
              <w:spacing w:after="240"/>
              <w:jc w:val="left"/>
              <w:rPr>
                <w:rFonts w:cs="Arial"/>
                <w:iCs/>
                <w:color w:val="1F497D"/>
                <w:sz w:val="22"/>
                <w:szCs w:val="22"/>
              </w:rPr>
            </w:pPr>
            <w:r>
              <w:rPr>
                <w:rFonts w:cs="Arial"/>
                <w:iCs/>
                <w:color w:val="1F497D"/>
                <w:sz w:val="22"/>
                <w:szCs w:val="22"/>
              </w:rPr>
              <w:lastRenderedPageBreak/>
              <w:t>Consultation forum outcomes</w:t>
            </w:r>
          </w:p>
        </w:tc>
        <w:tc>
          <w:tcPr>
            <w:tcW w:w="6331" w:type="dxa"/>
            <w:shd w:val="clear" w:color="auto" w:fill="auto"/>
          </w:tcPr>
          <w:p w14:paraId="596C7F88" w14:textId="5C4A7263" w:rsidR="00BB3702" w:rsidRDefault="00BB3702" w:rsidP="00CC75C4">
            <w:pPr>
              <w:pStyle w:val="BlockText"/>
              <w:tabs>
                <w:tab w:val="num" w:pos="1440"/>
              </w:tabs>
              <w:spacing w:after="240"/>
              <w:jc w:val="left"/>
              <w:rPr>
                <w:rFonts w:cs="Arial"/>
                <w:iCs/>
                <w:sz w:val="22"/>
                <w:szCs w:val="22"/>
              </w:rPr>
            </w:pPr>
            <w:r>
              <w:rPr>
                <w:rFonts w:cs="Arial"/>
                <w:iCs/>
                <w:sz w:val="22"/>
                <w:szCs w:val="22"/>
              </w:rPr>
              <w:t>In relation to this change to the Procedure, the 11 August 2015 GWCF minutes noted concerns on:</w:t>
            </w:r>
          </w:p>
          <w:p w14:paraId="32656EBB" w14:textId="77777777" w:rsidR="00FA07C4" w:rsidRDefault="00BB3702" w:rsidP="00CC75C4">
            <w:pPr>
              <w:pStyle w:val="BlockText"/>
              <w:numPr>
                <w:ilvl w:val="0"/>
                <w:numId w:val="4"/>
              </w:numPr>
              <w:spacing w:after="240"/>
              <w:jc w:val="left"/>
              <w:rPr>
                <w:rFonts w:cs="Arial"/>
                <w:iCs/>
                <w:sz w:val="22"/>
                <w:szCs w:val="22"/>
              </w:rPr>
            </w:pPr>
            <w:r>
              <w:rPr>
                <w:rFonts w:cs="Arial"/>
                <w:iCs/>
                <w:sz w:val="22"/>
                <w:szCs w:val="22"/>
              </w:rPr>
              <w:t>Price volatility of a deviation price based AVWMP</w:t>
            </w:r>
          </w:p>
          <w:p w14:paraId="7855CC1B" w14:textId="77777777" w:rsidR="00BB3702" w:rsidRDefault="00BB3702" w:rsidP="00CC75C4">
            <w:pPr>
              <w:pStyle w:val="BlockText"/>
              <w:numPr>
                <w:ilvl w:val="0"/>
                <w:numId w:val="4"/>
              </w:numPr>
              <w:spacing w:after="240"/>
              <w:jc w:val="left"/>
              <w:rPr>
                <w:rFonts w:cs="Arial"/>
                <w:iCs/>
                <w:sz w:val="22"/>
                <w:szCs w:val="22"/>
              </w:rPr>
            </w:pPr>
            <w:r>
              <w:rPr>
                <w:rFonts w:cs="Arial"/>
                <w:iCs/>
                <w:sz w:val="22"/>
                <w:szCs w:val="22"/>
              </w:rPr>
              <w:t>Alignment between the Procedure and the Code</w:t>
            </w:r>
          </w:p>
          <w:p w14:paraId="0E840F4A" w14:textId="45BFF849" w:rsidR="00BB3702" w:rsidRPr="003E7E7C" w:rsidRDefault="00D11670" w:rsidP="00CC75C4">
            <w:pPr>
              <w:pStyle w:val="BlockText"/>
              <w:tabs>
                <w:tab w:val="num" w:pos="1440"/>
              </w:tabs>
              <w:spacing w:after="240"/>
              <w:jc w:val="left"/>
              <w:rPr>
                <w:rFonts w:cs="Arial"/>
                <w:iCs/>
                <w:sz w:val="22"/>
                <w:szCs w:val="22"/>
              </w:rPr>
            </w:pPr>
            <w:r>
              <w:rPr>
                <w:rFonts w:cs="Arial"/>
                <w:iCs/>
                <w:sz w:val="22"/>
                <w:szCs w:val="22"/>
              </w:rPr>
              <w:t>Both are addressed in this</w:t>
            </w:r>
            <w:r w:rsidR="000F0DDB">
              <w:rPr>
                <w:rFonts w:cs="Arial"/>
                <w:iCs/>
                <w:sz w:val="22"/>
                <w:szCs w:val="22"/>
              </w:rPr>
              <w:t xml:space="preserve"> Impact &amp; Implementation Report.</w:t>
            </w:r>
            <w:r>
              <w:rPr>
                <w:rFonts w:cs="Arial"/>
                <w:iCs/>
                <w:sz w:val="22"/>
                <w:szCs w:val="22"/>
              </w:rPr>
              <w:t xml:space="preserve"> </w:t>
            </w:r>
            <w:r w:rsidR="00BB3702">
              <w:rPr>
                <w:rFonts w:cs="Arial"/>
                <w:iCs/>
                <w:sz w:val="22"/>
                <w:szCs w:val="22"/>
              </w:rPr>
              <w:t>No further concerns were noted.</w:t>
            </w:r>
          </w:p>
        </w:tc>
      </w:tr>
    </w:tbl>
    <w:p w14:paraId="0F9D8E2F" w14:textId="77777777" w:rsidR="00F217C4" w:rsidRDefault="00F217C4"/>
    <w:p w14:paraId="2A6462A3" w14:textId="77777777" w:rsidR="007836D5" w:rsidRDefault="00F217C4">
      <w:r>
        <w:br w:type="page"/>
      </w:r>
    </w:p>
    <w:p w14:paraId="6828DE94" w14:textId="77777777" w:rsidR="00F217C4" w:rsidRDefault="00F217C4"/>
    <w:tbl>
      <w:tblPr>
        <w:tblW w:w="938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759"/>
        <w:gridCol w:w="6627"/>
      </w:tblGrid>
      <w:tr w:rsidR="00451480" w:rsidRPr="00663146" w14:paraId="4472F079" w14:textId="77777777" w:rsidTr="00BB3702">
        <w:trPr>
          <w:trHeight w:val="433"/>
        </w:trPr>
        <w:tc>
          <w:tcPr>
            <w:tcW w:w="9386" w:type="dxa"/>
            <w:gridSpan w:val="2"/>
            <w:shd w:val="clear" w:color="auto" w:fill="auto"/>
            <w:vAlign w:val="center"/>
          </w:tcPr>
          <w:p w14:paraId="02EFCC08" w14:textId="77777777" w:rsidR="00451480" w:rsidRPr="00663146" w:rsidRDefault="00451480" w:rsidP="00663146">
            <w:pPr>
              <w:ind w:left="6"/>
              <w:jc w:val="center"/>
              <w:rPr>
                <w:rFonts w:ascii="Arial" w:hAnsi="Arial" w:cs="Arial"/>
                <w:b/>
                <w:color w:val="1F497D"/>
                <w:sz w:val="22"/>
                <w:szCs w:val="22"/>
              </w:rPr>
            </w:pPr>
            <w:r w:rsidRPr="00663146">
              <w:rPr>
                <w:rFonts w:ascii="Arial" w:hAnsi="Arial" w:cs="Arial"/>
                <w:b/>
                <w:color w:val="1F497D"/>
                <w:sz w:val="22"/>
                <w:szCs w:val="22"/>
              </w:rPr>
              <w:t>RECOMMENDATION(S)</w:t>
            </w:r>
          </w:p>
        </w:tc>
      </w:tr>
      <w:tr w:rsidR="00451480" w:rsidRPr="00663146" w14:paraId="04426F5B" w14:textId="77777777" w:rsidTr="000C1E03">
        <w:tc>
          <w:tcPr>
            <w:tcW w:w="2759" w:type="dxa"/>
            <w:shd w:val="clear" w:color="auto" w:fill="auto"/>
          </w:tcPr>
          <w:p w14:paraId="08803A30" w14:textId="77777777" w:rsidR="00451480" w:rsidRPr="00663146" w:rsidRDefault="00451480" w:rsidP="00451480">
            <w:pPr>
              <w:pStyle w:val="BlockText"/>
              <w:tabs>
                <w:tab w:val="num" w:pos="1440"/>
              </w:tabs>
              <w:spacing w:after="240"/>
              <w:jc w:val="left"/>
              <w:rPr>
                <w:rFonts w:cs="Arial"/>
                <w:iCs/>
                <w:color w:val="1F497D"/>
                <w:sz w:val="22"/>
                <w:szCs w:val="22"/>
              </w:rPr>
            </w:pPr>
            <w:r w:rsidRPr="00663146">
              <w:rPr>
                <w:rFonts w:cs="Arial"/>
                <w:iCs/>
                <w:color w:val="1F497D"/>
                <w:sz w:val="22"/>
                <w:szCs w:val="22"/>
              </w:rPr>
              <w:t>Should the proposed Procedures be made, (with or without amendments)?</w:t>
            </w:r>
          </w:p>
        </w:tc>
        <w:tc>
          <w:tcPr>
            <w:tcW w:w="6627" w:type="dxa"/>
            <w:shd w:val="clear" w:color="auto" w:fill="auto"/>
          </w:tcPr>
          <w:p w14:paraId="3A4500F4" w14:textId="77777777" w:rsidR="00451480" w:rsidRPr="00CC75C4" w:rsidRDefault="00BB3702" w:rsidP="00CC75C4">
            <w:pPr>
              <w:pStyle w:val="BlockText"/>
              <w:tabs>
                <w:tab w:val="num" w:pos="1440"/>
              </w:tabs>
              <w:spacing w:after="240"/>
              <w:jc w:val="left"/>
              <w:rPr>
                <w:rFonts w:cs="Arial"/>
                <w:iCs/>
                <w:sz w:val="22"/>
                <w:szCs w:val="22"/>
              </w:rPr>
            </w:pPr>
            <w:r w:rsidRPr="00CC75C4">
              <w:rPr>
                <w:rFonts w:cs="Arial"/>
                <w:iCs/>
                <w:sz w:val="22"/>
                <w:szCs w:val="22"/>
              </w:rPr>
              <w:t>Taking into account the consultation that has occurred, AEMO recommends the proposed Procedures change should be made as described in Appendix A.</w:t>
            </w:r>
          </w:p>
        </w:tc>
      </w:tr>
      <w:tr w:rsidR="00451480" w:rsidRPr="00663146" w14:paraId="171B691A" w14:textId="77777777" w:rsidTr="000C1E03">
        <w:tc>
          <w:tcPr>
            <w:tcW w:w="2759" w:type="dxa"/>
            <w:shd w:val="clear" w:color="auto" w:fill="auto"/>
          </w:tcPr>
          <w:p w14:paraId="03B699F4" w14:textId="77777777" w:rsidR="00451480" w:rsidRPr="00663146" w:rsidRDefault="002122B2" w:rsidP="00FA07C4">
            <w:pPr>
              <w:pStyle w:val="BlockText"/>
              <w:tabs>
                <w:tab w:val="num" w:pos="1440"/>
              </w:tabs>
              <w:spacing w:after="240"/>
              <w:jc w:val="left"/>
              <w:rPr>
                <w:rFonts w:cs="Arial"/>
                <w:iCs/>
                <w:color w:val="1F497D"/>
                <w:sz w:val="22"/>
                <w:szCs w:val="22"/>
              </w:rPr>
            </w:pPr>
            <w:r>
              <w:rPr>
                <w:rFonts w:cs="Arial"/>
                <w:iCs/>
                <w:color w:val="1F497D"/>
                <w:sz w:val="22"/>
                <w:szCs w:val="22"/>
              </w:rPr>
              <w:t>P</w:t>
            </w:r>
            <w:r w:rsidR="00451480" w:rsidRPr="00663146">
              <w:rPr>
                <w:rFonts w:cs="Arial"/>
                <w:iCs/>
                <w:color w:val="1F497D"/>
                <w:sz w:val="22"/>
                <w:szCs w:val="22"/>
              </w:rPr>
              <w:t>roposed effective date for the proposed change</w:t>
            </w:r>
            <w:r w:rsidR="007B6368" w:rsidRPr="00663146">
              <w:rPr>
                <w:rFonts w:cs="Arial"/>
                <w:iCs/>
                <w:color w:val="1F497D"/>
                <w:sz w:val="22"/>
                <w:szCs w:val="22"/>
              </w:rPr>
              <w:t>(s)</w:t>
            </w:r>
            <w:r w:rsidR="00451480" w:rsidRPr="00663146">
              <w:rPr>
                <w:rFonts w:cs="Arial"/>
                <w:iCs/>
                <w:color w:val="1F497D"/>
                <w:sz w:val="22"/>
                <w:szCs w:val="22"/>
              </w:rPr>
              <w:t xml:space="preserve"> </w:t>
            </w:r>
          </w:p>
        </w:tc>
        <w:tc>
          <w:tcPr>
            <w:tcW w:w="6627" w:type="dxa"/>
            <w:shd w:val="clear" w:color="auto" w:fill="auto"/>
          </w:tcPr>
          <w:p w14:paraId="0F3CD958" w14:textId="77777777" w:rsidR="00451480" w:rsidRPr="00CC75C4" w:rsidRDefault="000C1E03" w:rsidP="00CC75C4">
            <w:pPr>
              <w:pStyle w:val="BlockText"/>
              <w:tabs>
                <w:tab w:val="num" w:pos="1440"/>
              </w:tabs>
              <w:spacing w:after="240"/>
              <w:jc w:val="left"/>
              <w:rPr>
                <w:rFonts w:cs="Arial"/>
                <w:iCs/>
                <w:sz w:val="22"/>
                <w:szCs w:val="22"/>
              </w:rPr>
            </w:pPr>
            <w:r w:rsidRPr="00CC75C4">
              <w:rPr>
                <w:rFonts w:cs="Arial"/>
                <w:iCs/>
                <w:sz w:val="22"/>
                <w:szCs w:val="22"/>
              </w:rPr>
              <w:t>During the GWCF consultation, AEMO recommended that the new Procedure be used to determine UAFG reconciliations for the 2015 calendar year, which commences once the revision settlement statement is issued for December 2015 in June 2016.</w:t>
            </w:r>
          </w:p>
          <w:p w14:paraId="2C6AC52F" w14:textId="5D8409A7" w:rsidR="000C1E03" w:rsidRPr="00CC75C4" w:rsidRDefault="000C1E03" w:rsidP="007F1C9E">
            <w:pPr>
              <w:pStyle w:val="BlockText"/>
              <w:tabs>
                <w:tab w:val="num" w:pos="1440"/>
              </w:tabs>
              <w:spacing w:after="240"/>
              <w:jc w:val="left"/>
              <w:rPr>
                <w:rFonts w:cs="Arial"/>
                <w:iCs/>
                <w:sz w:val="22"/>
                <w:szCs w:val="22"/>
              </w:rPr>
            </w:pPr>
            <w:r w:rsidRPr="00CC75C4">
              <w:rPr>
                <w:rFonts w:cs="Arial"/>
                <w:iCs/>
                <w:sz w:val="22"/>
                <w:szCs w:val="22"/>
              </w:rPr>
              <w:t>AEMO proposes that the effective date is 1 January 2016</w:t>
            </w:r>
            <w:r w:rsidR="00D11670">
              <w:rPr>
                <w:rFonts w:cs="Arial"/>
                <w:iCs/>
                <w:sz w:val="22"/>
                <w:szCs w:val="22"/>
              </w:rPr>
              <w:t>,</w:t>
            </w:r>
            <w:r w:rsidRPr="00CC75C4">
              <w:rPr>
                <w:rFonts w:cs="Arial"/>
                <w:iCs/>
                <w:sz w:val="22"/>
                <w:szCs w:val="22"/>
              </w:rPr>
              <w:t xml:space="preserve"> to apply to all </w:t>
            </w:r>
            <w:r w:rsidR="007F1C9E">
              <w:rPr>
                <w:rFonts w:cs="Arial"/>
                <w:iCs/>
                <w:sz w:val="22"/>
                <w:szCs w:val="22"/>
              </w:rPr>
              <w:t xml:space="preserve">determinations of AVWMP for DUAFG periods </w:t>
            </w:r>
            <w:r w:rsidRPr="00CC75C4">
              <w:rPr>
                <w:rFonts w:cs="Arial"/>
                <w:iCs/>
                <w:sz w:val="22"/>
                <w:szCs w:val="22"/>
              </w:rPr>
              <w:t>to be issued from that date.</w:t>
            </w:r>
          </w:p>
        </w:tc>
      </w:tr>
    </w:tbl>
    <w:p w14:paraId="119BD9CC" w14:textId="77777777" w:rsidR="00451480" w:rsidRDefault="00451480"/>
    <w:p w14:paraId="22FF284D" w14:textId="77777777" w:rsidR="003C2DEA" w:rsidRDefault="00451480" w:rsidP="003C2DEA">
      <w:pPr>
        <w:pStyle w:val="BlockText"/>
        <w:tabs>
          <w:tab w:val="num" w:pos="540"/>
        </w:tabs>
        <w:spacing w:after="240"/>
        <w:ind w:left="540"/>
        <w:jc w:val="left"/>
      </w:pPr>
      <w:r>
        <w:br w:type="page"/>
      </w:r>
    </w:p>
    <w:tbl>
      <w:tblPr>
        <w:tblW w:w="938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3C2DEA" w:rsidRPr="00F217C4" w14:paraId="410551AF" w14:textId="77777777" w:rsidTr="00663146">
        <w:tc>
          <w:tcPr>
            <w:tcW w:w="9386" w:type="dxa"/>
            <w:shd w:val="clear" w:color="auto" w:fill="auto"/>
          </w:tcPr>
          <w:p w14:paraId="31B9C680" w14:textId="77777777" w:rsidR="007B6368" w:rsidRPr="00663146" w:rsidRDefault="00525C61" w:rsidP="007B6368">
            <w:pPr>
              <w:spacing w:after="240"/>
              <w:ind w:left="4"/>
              <w:jc w:val="both"/>
              <w:rPr>
                <w:rFonts w:ascii="Arial" w:hAnsi="Arial" w:cs="Arial"/>
                <w:b/>
                <w:color w:val="1F497D"/>
                <w:sz w:val="22"/>
                <w:szCs w:val="22"/>
              </w:rPr>
            </w:pPr>
            <w:r>
              <w:rPr>
                <w:rFonts w:ascii="Arial" w:hAnsi="Arial" w:cs="Arial"/>
                <w:b/>
                <w:color w:val="1F497D"/>
                <w:sz w:val="22"/>
                <w:szCs w:val="22"/>
              </w:rPr>
              <w:lastRenderedPageBreak/>
              <w:t>APPENDIX</w:t>
            </w:r>
            <w:r w:rsidR="003C2DEA" w:rsidRPr="00663146">
              <w:rPr>
                <w:rFonts w:ascii="Arial" w:hAnsi="Arial" w:cs="Arial"/>
                <w:b/>
                <w:color w:val="1F497D"/>
                <w:sz w:val="22"/>
                <w:szCs w:val="22"/>
              </w:rPr>
              <w:t xml:space="preserve"> A</w:t>
            </w:r>
            <w:r w:rsidR="007B6368" w:rsidRPr="00663146">
              <w:rPr>
                <w:rFonts w:ascii="Arial" w:hAnsi="Arial" w:cs="Arial"/>
                <w:b/>
                <w:color w:val="1F497D"/>
                <w:sz w:val="22"/>
                <w:szCs w:val="22"/>
              </w:rPr>
              <w:t xml:space="preserve"> – DOCUMENTATION CHANGES (SEE SECTION 3)</w:t>
            </w:r>
          </w:p>
          <w:p w14:paraId="3F00DCA4" w14:textId="77777777" w:rsidR="003C2DEA" w:rsidRDefault="003C2DEA" w:rsidP="00663146">
            <w:pPr>
              <w:spacing w:after="240"/>
              <w:jc w:val="both"/>
              <w:rPr>
                <w:rFonts w:ascii="Arial" w:hAnsi="Arial" w:cs="Arial"/>
                <w:b/>
                <w:color w:val="1F497D"/>
                <w:sz w:val="20"/>
              </w:rPr>
            </w:pPr>
            <w:r w:rsidRPr="00E17451">
              <w:rPr>
                <w:rFonts w:ascii="Arial" w:hAnsi="Arial" w:cs="Arial"/>
                <w:b/>
                <w:color w:val="3366FF"/>
                <w:sz w:val="20"/>
              </w:rPr>
              <w:t>Blue</w:t>
            </w:r>
            <w:r w:rsidRPr="00E17451">
              <w:rPr>
                <w:rFonts w:ascii="Arial" w:hAnsi="Arial" w:cs="Arial"/>
                <w:b/>
                <w:sz w:val="20"/>
              </w:rPr>
              <w:t xml:space="preserve"> </w:t>
            </w:r>
            <w:r w:rsidRPr="00663146">
              <w:rPr>
                <w:rFonts w:ascii="Arial" w:hAnsi="Arial" w:cs="Arial"/>
                <w:b/>
                <w:color w:val="1F497D"/>
                <w:sz w:val="20"/>
              </w:rPr>
              <w:t>represents additions</w:t>
            </w:r>
            <w:r w:rsidRPr="00E17451">
              <w:rPr>
                <w:rFonts w:ascii="Arial" w:hAnsi="Arial" w:cs="Arial"/>
                <w:b/>
                <w:sz w:val="20"/>
              </w:rPr>
              <w:t xml:space="preserve"> </w:t>
            </w:r>
            <w:r w:rsidRPr="00E17451">
              <w:rPr>
                <w:rFonts w:ascii="Arial" w:hAnsi="Arial" w:cs="Arial"/>
                <w:b/>
                <w:color w:val="FF0000"/>
                <w:sz w:val="20"/>
              </w:rPr>
              <w:t>Red</w:t>
            </w:r>
            <w:r w:rsidRPr="00E17451">
              <w:rPr>
                <w:rFonts w:ascii="Arial" w:hAnsi="Arial" w:cs="Arial"/>
                <w:b/>
                <w:sz w:val="20"/>
              </w:rPr>
              <w:t xml:space="preserve"> </w:t>
            </w:r>
            <w:r w:rsidRPr="00663146">
              <w:rPr>
                <w:rFonts w:ascii="Arial" w:hAnsi="Arial" w:cs="Arial"/>
                <w:b/>
                <w:color w:val="1F497D"/>
                <w:sz w:val="20"/>
              </w:rPr>
              <w:t>and strikeout represents deletions – Marked up changes</w:t>
            </w:r>
          </w:p>
          <w:p w14:paraId="1F1D45A3" w14:textId="77777777" w:rsidR="00FA07C4" w:rsidRPr="003C2DEA" w:rsidRDefault="00FA07C4" w:rsidP="00663146">
            <w:pPr>
              <w:spacing w:after="240"/>
              <w:jc w:val="both"/>
              <w:rPr>
                <w:rFonts w:ascii="Arial" w:hAnsi="Arial" w:cs="Arial"/>
                <w:b/>
                <w:sz w:val="22"/>
                <w:szCs w:val="22"/>
              </w:rPr>
            </w:pPr>
            <w:r>
              <w:rPr>
                <w:rFonts w:ascii="Arial" w:hAnsi="Arial" w:cs="Arial"/>
                <w:b/>
                <w:color w:val="1F497D"/>
                <w:sz w:val="20"/>
              </w:rPr>
              <w:t>Comments may be used to explain changes to the document</w:t>
            </w:r>
          </w:p>
        </w:tc>
      </w:tr>
    </w:tbl>
    <w:p w14:paraId="041B8DC1" w14:textId="77777777" w:rsidR="003C2DEA" w:rsidRPr="006430C7" w:rsidRDefault="003C2DEA" w:rsidP="003C2DEA">
      <w:pPr>
        <w:pStyle w:val="BlockText"/>
        <w:tabs>
          <w:tab w:val="num" w:pos="540"/>
        </w:tabs>
        <w:spacing w:after="240"/>
        <w:ind w:left="540"/>
        <w:jc w:val="left"/>
        <w:rPr>
          <w:sz w:val="22"/>
          <w:szCs w:val="22"/>
        </w:rPr>
      </w:pPr>
    </w:p>
    <w:p w14:paraId="3019DD29" w14:textId="77777777" w:rsidR="00525C61" w:rsidRPr="006430C7" w:rsidRDefault="00525C61" w:rsidP="00525C61">
      <w:pPr>
        <w:pStyle w:val="BodyText"/>
        <w:numPr>
          <w:ilvl w:val="0"/>
          <w:numId w:val="6"/>
        </w:numPr>
        <w:spacing w:before="240" w:after="120"/>
        <w:ind w:hanging="720"/>
        <w:rPr>
          <w:rFonts w:ascii="Arial" w:hAnsi="Arial" w:cs="Arial"/>
          <w:b/>
          <w:sz w:val="22"/>
          <w:szCs w:val="22"/>
        </w:rPr>
      </w:pPr>
      <w:r w:rsidRPr="006430C7">
        <w:rPr>
          <w:rFonts w:ascii="Arial" w:hAnsi="Arial" w:cs="Arial"/>
          <w:b/>
          <w:sz w:val="22"/>
          <w:szCs w:val="22"/>
        </w:rPr>
        <w:t>Definitions</w:t>
      </w:r>
    </w:p>
    <w:p w14:paraId="6B4642A3" w14:textId="77777777" w:rsidR="00525C61" w:rsidRPr="006430C7" w:rsidRDefault="00525C61" w:rsidP="00525C61">
      <w:pPr>
        <w:pStyle w:val="BodyText"/>
        <w:rPr>
          <w:rFonts w:ascii="Arial" w:hAnsi="Arial" w:cs="Arial"/>
          <w:sz w:val="22"/>
          <w:szCs w:val="22"/>
        </w:rPr>
      </w:pPr>
      <w:r w:rsidRPr="006430C7">
        <w:rPr>
          <w:rFonts w:ascii="Arial" w:hAnsi="Arial" w:cs="Arial"/>
          <w:sz w:val="22"/>
          <w:szCs w:val="22"/>
        </w:rPr>
        <w:t xml:space="preserve">In clause 1 under the heading ‘Definitions’, immediately before </w:t>
      </w:r>
      <w:r w:rsidRPr="006430C7">
        <w:rPr>
          <w:rFonts w:ascii="Arial" w:hAnsi="Arial" w:cs="Arial"/>
          <w:b/>
          <w:sz w:val="22"/>
          <w:szCs w:val="22"/>
        </w:rPr>
        <w:t>Market Participant</w:t>
      </w:r>
      <w:r w:rsidRPr="006430C7">
        <w:rPr>
          <w:rFonts w:ascii="Arial" w:hAnsi="Arial" w:cs="Arial"/>
          <w:sz w:val="22"/>
          <w:szCs w:val="22"/>
        </w:rPr>
        <w:t>, insert:</w:t>
      </w:r>
    </w:p>
    <w:p w14:paraId="017751C4" w14:textId="77777777" w:rsidR="00525C61" w:rsidRPr="00865C7F" w:rsidRDefault="00525C61" w:rsidP="00525C61">
      <w:pPr>
        <w:pStyle w:val="BodyText"/>
        <w:rPr>
          <w:rFonts w:ascii="Arial" w:hAnsi="Arial" w:cs="Arial"/>
        </w:rPr>
      </w:pPr>
    </w:p>
    <w:p w14:paraId="59888B11" w14:textId="317613EB" w:rsidR="00525C61" w:rsidRPr="00CC75C4" w:rsidRDefault="00525C61" w:rsidP="00525C61">
      <w:pPr>
        <w:pStyle w:val="BodyText"/>
        <w:rPr>
          <w:rFonts w:ascii="Arial" w:hAnsi="Arial" w:cs="Arial"/>
          <w:color w:val="4472C4" w:themeColor="accent5"/>
          <w:sz w:val="22"/>
          <w:szCs w:val="22"/>
        </w:rPr>
      </w:pPr>
      <w:r w:rsidRPr="00CC75C4">
        <w:rPr>
          <w:rFonts w:ascii="Arial" w:hAnsi="Arial" w:cs="Arial"/>
          <w:color w:val="4472C4" w:themeColor="accent5"/>
          <w:sz w:val="22"/>
          <w:szCs w:val="22"/>
        </w:rPr>
        <w:t>“DUAFG period means a DUAFG year or part of a DUAFG year during which a single UAFG benchmark value applied</w:t>
      </w:r>
      <w:r w:rsidR="006430C7" w:rsidRPr="00CC75C4">
        <w:t xml:space="preserve"> </w:t>
      </w:r>
      <w:r w:rsidR="006430C7" w:rsidRPr="00CC75C4">
        <w:rPr>
          <w:rFonts w:ascii="Arial" w:hAnsi="Arial" w:cs="Arial"/>
          <w:color w:val="4472C4" w:themeColor="accent5"/>
          <w:sz w:val="22"/>
          <w:szCs w:val="22"/>
        </w:rPr>
        <w:t xml:space="preserve">to a </w:t>
      </w:r>
      <w:r w:rsidR="00D11670">
        <w:rPr>
          <w:rFonts w:ascii="Arial" w:hAnsi="Arial" w:cs="Arial"/>
          <w:color w:val="4472C4" w:themeColor="accent5"/>
          <w:sz w:val="22"/>
          <w:szCs w:val="22"/>
        </w:rPr>
        <w:t>s</w:t>
      </w:r>
      <w:r w:rsidR="006430C7" w:rsidRPr="00CC75C4">
        <w:rPr>
          <w:rFonts w:ascii="Arial" w:hAnsi="Arial" w:cs="Arial"/>
          <w:color w:val="4472C4" w:themeColor="accent5"/>
          <w:sz w:val="22"/>
          <w:szCs w:val="22"/>
        </w:rPr>
        <w:t xml:space="preserve">upply </w:t>
      </w:r>
      <w:r w:rsidR="00D11670">
        <w:rPr>
          <w:rFonts w:ascii="Arial" w:hAnsi="Arial" w:cs="Arial"/>
          <w:color w:val="4472C4" w:themeColor="accent5"/>
          <w:sz w:val="22"/>
          <w:szCs w:val="22"/>
        </w:rPr>
        <w:t>p</w:t>
      </w:r>
      <w:r w:rsidR="006430C7" w:rsidRPr="00CC75C4">
        <w:rPr>
          <w:rFonts w:ascii="Arial" w:hAnsi="Arial" w:cs="Arial"/>
          <w:color w:val="4472C4" w:themeColor="accent5"/>
          <w:sz w:val="22"/>
          <w:szCs w:val="22"/>
        </w:rPr>
        <w:t>oint Class and Distributor</w:t>
      </w:r>
      <w:r w:rsidRPr="00CC75C4">
        <w:rPr>
          <w:rFonts w:ascii="Arial" w:hAnsi="Arial" w:cs="Arial"/>
          <w:color w:val="4472C4" w:themeColor="accent5"/>
          <w:sz w:val="22"/>
          <w:szCs w:val="22"/>
        </w:rPr>
        <w:t>.</w:t>
      </w:r>
    </w:p>
    <w:p w14:paraId="047B568D" w14:textId="77777777" w:rsidR="00D11670" w:rsidRDefault="00D11670" w:rsidP="00525C61">
      <w:pPr>
        <w:pStyle w:val="BodyText"/>
        <w:rPr>
          <w:rFonts w:ascii="Arial" w:hAnsi="Arial" w:cs="Arial"/>
          <w:color w:val="4472C4" w:themeColor="accent5"/>
          <w:sz w:val="22"/>
          <w:szCs w:val="22"/>
        </w:rPr>
      </w:pPr>
    </w:p>
    <w:p w14:paraId="664BF439" w14:textId="77777777" w:rsidR="00525C61" w:rsidRPr="00CC75C4" w:rsidRDefault="00525C61" w:rsidP="00525C61">
      <w:pPr>
        <w:pStyle w:val="BodyText"/>
        <w:rPr>
          <w:rFonts w:ascii="Arial" w:hAnsi="Arial" w:cs="Arial"/>
          <w:color w:val="4472C4" w:themeColor="accent5"/>
          <w:sz w:val="22"/>
          <w:szCs w:val="22"/>
        </w:rPr>
      </w:pPr>
      <w:r w:rsidRPr="00CC75C4">
        <w:rPr>
          <w:rFonts w:ascii="Arial" w:hAnsi="Arial" w:cs="Arial"/>
          <w:color w:val="4472C4" w:themeColor="accent5"/>
          <w:sz w:val="22"/>
          <w:szCs w:val="22"/>
        </w:rPr>
        <w:t>DUAFG year means a calendar year.”</w:t>
      </w:r>
    </w:p>
    <w:p w14:paraId="0AE52D57" w14:textId="77777777" w:rsidR="00525C61" w:rsidRPr="006430C7" w:rsidRDefault="00525C61" w:rsidP="00525C61">
      <w:pPr>
        <w:pStyle w:val="BodyText"/>
        <w:numPr>
          <w:ilvl w:val="0"/>
          <w:numId w:val="6"/>
        </w:numPr>
        <w:spacing w:before="240" w:after="120"/>
        <w:ind w:hanging="720"/>
        <w:rPr>
          <w:rFonts w:ascii="Arial" w:hAnsi="Arial" w:cs="Arial"/>
          <w:b/>
          <w:sz w:val="22"/>
          <w:szCs w:val="22"/>
        </w:rPr>
      </w:pPr>
      <w:r w:rsidRPr="006430C7">
        <w:rPr>
          <w:rFonts w:ascii="Arial" w:hAnsi="Arial" w:cs="Arial"/>
          <w:b/>
          <w:sz w:val="22"/>
          <w:szCs w:val="22"/>
        </w:rPr>
        <w:t>Clause 2.1.1</w:t>
      </w:r>
    </w:p>
    <w:p w14:paraId="15091509" w14:textId="77777777" w:rsidR="00525C61" w:rsidRPr="006430C7" w:rsidRDefault="00525C61" w:rsidP="00525C61">
      <w:pPr>
        <w:pStyle w:val="BodyText"/>
        <w:rPr>
          <w:rFonts w:ascii="Arial" w:hAnsi="Arial" w:cs="Arial"/>
          <w:sz w:val="22"/>
          <w:szCs w:val="22"/>
        </w:rPr>
      </w:pPr>
      <w:r w:rsidRPr="00D11670">
        <w:rPr>
          <w:rFonts w:ascii="Arial" w:hAnsi="Arial" w:cs="Arial"/>
          <w:sz w:val="22"/>
          <w:szCs w:val="22"/>
        </w:rPr>
        <w:t xml:space="preserve">Delete clause 2.1.1, </w:t>
      </w:r>
      <w:r w:rsidRPr="006430C7">
        <w:rPr>
          <w:rFonts w:ascii="Arial" w:hAnsi="Arial" w:cs="Arial"/>
          <w:sz w:val="22"/>
          <w:szCs w:val="22"/>
        </w:rPr>
        <w:t>substitute:</w:t>
      </w:r>
    </w:p>
    <w:p w14:paraId="1878B71D" w14:textId="77777777" w:rsidR="006430C7" w:rsidRDefault="006430C7" w:rsidP="00525C61">
      <w:pPr>
        <w:pStyle w:val="BodyText"/>
        <w:rPr>
          <w:rFonts w:ascii="Arial" w:hAnsi="Arial" w:cs="Arial"/>
          <w:b/>
          <w:color w:val="4472C4" w:themeColor="accent5"/>
          <w:sz w:val="22"/>
          <w:szCs w:val="22"/>
        </w:rPr>
      </w:pPr>
    </w:p>
    <w:p w14:paraId="6A1599E4" w14:textId="77777777" w:rsidR="00525C61" w:rsidRPr="006430C7" w:rsidRDefault="00525C61" w:rsidP="00525C61">
      <w:pPr>
        <w:pStyle w:val="BodyText"/>
        <w:rPr>
          <w:rFonts w:ascii="Arial" w:hAnsi="Arial" w:cs="Arial"/>
          <w:b/>
          <w:color w:val="4472C4" w:themeColor="accent5"/>
          <w:sz w:val="22"/>
          <w:szCs w:val="22"/>
        </w:rPr>
      </w:pPr>
      <w:r w:rsidRPr="006430C7">
        <w:rPr>
          <w:rFonts w:ascii="Arial" w:hAnsi="Arial" w:cs="Arial"/>
          <w:b/>
          <w:color w:val="4472C4" w:themeColor="accent5"/>
          <w:sz w:val="22"/>
          <w:szCs w:val="22"/>
        </w:rPr>
        <w:t>2.1.1 Average Volume Weighted Market Price (“AVWMP”)</w:t>
      </w:r>
    </w:p>
    <w:p w14:paraId="59BDAF2C" w14:textId="77777777" w:rsidR="006430C7" w:rsidRDefault="006430C7" w:rsidP="00525C61">
      <w:pPr>
        <w:pStyle w:val="BodyText"/>
        <w:rPr>
          <w:rFonts w:ascii="Arial" w:hAnsi="Arial" w:cs="Arial"/>
          <w:color w:val="4472C4" w:themeColor="accent5"/>
          <w:sz w:val="22"/>
          <w:szCs w:val="22"/>
        </w:rPr>
      </w:pPr>
    </w:p>
    <w:p w14:paraId="5CF601AD" w14:textId="77777777" w:rsidR="00525C61" w:rsidRPr="006430C7" w:rsidRDefault="00525C61" w:rsidP="00525C61">
      <w:pPr>
        <w:pStyle w:val="BodyText"/>
        <w:rPr>
          <w:rFonts w:ascii="Arial" w:hAnsi="Arial" w:cs="Arial"/>
          <w:color w:val="4472C4" w:themeColor="accent5"/>
          <w:sz w:val="22"/>
          <w:szCs w:val="22"/>
        </w:rPr>
      </w:pPr>
      <w:r w:rsidRPr="006430C7">
        <w:rPr>
          <w:rFonts w:ascii="Arial" w:hAnsi="Arial" w:cs="Arial"/>
          <w:color w:val="4472C4" w:themeColor="accent5"/>
          <w:sz w:val="22"/>
          <w:szCs w:val="22"/>
        </w:rPr>
        <w:t>In respect of each DUAFG period, AEMO must determine the AVWMP in in accordance with the following formula:</w:t>
      </w:r>
    </w:p>
    <w:p w14:paraId="64AB29C1" w14:textId="77777777" w:rsidR="00525C61" w:rsidRPr="006430C7" w:rsidRDefault="00525C61" w:rsidP="00525C61">
      <w:pPr>
        <w:rPr>
          <w:rFonts w:ascii="Arial" w:hAnsi="Arial" w:cs="Arial"/>
          <w:color w:val="4472C4" w:themeColor="accent5"/>
          <w:sz w:val="22"/>
          <w:szCs w:val="22"/>
        </w:rPr>
      </w:pPr>
    </w:p>
    <w:p w14:paraId="156DBE23" w14:textId="77777777" w:rsidR="00525C61" w:rsidRPr="006430C7" w:rsidRDefault="00525C61" w:rsidP="00525C61">
      <w:pPr>
        <w:pStyle w:val="BodyText"/>
        <w:rPr>
          <w:rFonts w:ascii="Arial" w:hAnsi="Arial" w:cs="Arial"/>
          <w:color w:val="4472C4" w:themeColor="accent5"/>
          <w:sz w:val="22"/>
          <w:szCs w:val="22"/>
        </w:rPr>
      </w:pPr>
      <m:oMathPara>
        <m:oMathParaPr>
          <m:jc m:val="left"/>
        </m:oMathParaPr>
        <m:oMath>
          <m:r>
            <m:rPr>
              <m:sty m:val="p"/>
            </m:rPr>
            <w:rPr>
              <w:rFonts w:ascii="Cambria Math" w:hAnsi="Cambria Math" w:cs="Arial"/>
              <w:color w:val="4472C4" w:themeColor="accent5"/>
              <w:sz w:val="22"/>
              <w:szCs w:val="22"/>
            </w:rPr>
            <m:t xml:space="preserve">AVWMP= </m:t>
          </m:r>
          <m:f>
            <m:fPr>
              <m:ctrlPr>
                <w:rPr>
                  <w:rFonts w:ascii="Cambria Math" w:hAnsi="Cambria Math" w:cs="Arial"/>
                  <w:color w:val="4472C4" w:themeColor="accent5"/>
                  <w:sz w:val="22"/>
                  <w:szCs w:val="22"/>
                </w:rPr>
              </m:ctrlPr>
            </m:fPr>
            <m:num>
              <m:nary>
                <m:naryPr>
                  <m:chr m:val="∑"/>
                  <m:limLoc m:val="undOvr"/>
                  <m:ctrlPr>
                    <w:rPr>
                      <w:rFonts w:ascii="Cambria Math" w:hAnsi="Cambria Math" w:cs="Arial"/>
                      <w:color w:val="4472C4" w:themeColor="accent5"/>
                      <w:sz w:val="22"/>
                      <w:szCs w:val="22"/>
                    </w:rPr>
                  </m:ctrlPr>
                </m:naryPr>
                <m:sub>
                  <m:r>
                    <w:rPr>
                      <w:rFonts w:ascii="Cambria Math" w:hAnsi="Cambria Math" w:cs="Arial"/>
                      <w:color w:val="4472C4" w:themeColor="accent5"/>
                      <w:sz w:val="22"/>
                      <w:szCs w:val="22"/>
                    </w:rPr>
                    <m:t>D</m:t>
                  </m:r>
                  <m:r>
                    <m:rPr>
                      <m:sty m:val="p"/>
                    </m:rPr>
                    <w:rPr>
                      <w:rFonts w:ascii="Cambria Math" w:hAnsi="Cambria Math" w:cs="Arial"/>
                      <w:color w:val="4472C4" w:themeColor="accent5"/>
                      <w:sz w:val="22"/>
                      <w:szCs w:val="22"/>
                    </w:rPr>
                    <m:t>=1</m:t>
                  </m:r>
                </m:sub>
                <m:sup>
                  <m:r>
                    <w:rPr>
                      <w:rFonts w:ascii="Cambria Math" w:hAnsi="Cambria Math" w:cs="Arial"/>
                      <w:color w:val="4472C4" w:themeColor="accent5"/>
                      <w:sz w:val="22"/>
                      <w:szCs w:val="22"/>
                    </w:rPr>
                    <m:t>n</m:t>
                  </m:r>
                </m:sup>
                <m:e>
                  <m:d>
                    <m:dPr>
                      <m:begChr m:val="{"/>
                      <m:endChr m:val="}"/>
                      <m:ctrlPr>
                        <w:rPr>
                          <w:rFonts w:ascii="Cambria Math" w:hAnsi="Cambria Math" w:cs="Arial"/>
                          <w:color w:val="4472C4" w:themeColor="accent5"/>
                          <w:sz w:val="22"/>
                          <w:szCs w:val="22"/>
                        </w:rPr>
                      </m:ctrlPr>
                    </m:dPr>
                    <m:e>
                      <m:nary>
                        <m:naryPr>
                          <m:chr m:val="∑"/>
                          <m:limLoc m:val="undOvr"/>
                          <m:ctrlPr>
                            <w:rPr>
                              <w:rFonts w:ascii="Cambria Math" w:hAnsi="Cambria Math" w:cs="Arial"/>
                              <w:color w:val="4472C4" w:themeColor="accent5"/>
                              <w:sz w:val="22"/>
                              <w:szCs w:val="22"/>
                            </w:rPr>
                          </m:ctrlPr>
                        </m:naryPr>
                        <m:sub>
                          <m:r>
                            <w:rPr>
                              <w:rFonts w:ascii="Cambria Math" w:hAnsi="Cambria Math" w:cs="Arial"/>
                              <w:color w:val="4472C4" w:themeColor="accent5"/>
                              <w:sz w:val="22"/>
                              <w:szCs w:val="22"/>
                            </w:rPr>
                            <m:t>S</m:t>
                          </m:r>
                          <m:r>
                            <m:rPr>
                              <m:sty m:val="p"/>
                            </m:rPr>
                            <w:rPr>
                              <w:rFonts w:ascii="Cambria Math" w:hAnsi="Cambria Math" w:cs="Arial"/>
                              <w:color w:val="4472C4" w:themeColor="accent5"/>
                              <w:sz w:val="22"/>
                              <w:szCs w:val="22"/>
                            </w:rPr>
                            <m:t>=1</m:t>
                          </m:r>
                        </m:sub>
                        <m:sup>
                          <m:r>
                            <m:rPr>
                              <m:sty m:val="p"/>
                            </m:rPr>
                            <w:rPr>
                              <w:rFonts w:ascii="Cambria Math" w:hAnsi="Cambria Math" w:cs="Arial"/>
                              <w:color w:val="4472C4" w:themeColor="accent5"/>
                              <w:sz w:val="22"/>
                              <w:szCs w:val="22"/>
                            </w:rPr>
                            <m:t>5</m:t>
                          </m:r>
                        </m:sup>
                        <m:e>
                          <m:d>
                            <m:dPr>
                              <m:ctrlPr>
                                <w:rPr>
                                  <w:rFonts w:ascii="Cambria Math" w:hAnsi="Cambria Math" w:cs="Arial"/>
                                  <w:color w:val="4472C4" w:themeColor="accent5"/>
                                  <w:sz w:val="22"/>
                                  <w:szCs w:val="22"/>
                                </w:rPr>
                              </m:ctrlPr>
                            </m:dPr>
                            <m:e>
                              <m:sSub>
                                <m:sSubPr>
                                  <m:ctrlPr>
                                    <w:rPr>
                                      <w:rFonts w:ascii="Cambria Math" w:hAnsi="Cambria Math" w:cs="Arial"/>
                                      <w:color w:val="4472C4" w:themeColor="accent5"/>
                                      <w:sz w:val="22"/>
                                      <w:szCs w:val="22"/>
                                    </w:rPr>
                                  </m:ctrlPr>
                                </m:sSubPr>
                                <m:e>
                                  <m:r>
                                    <w:rPr>
                                      <w:rFonts w:ascii="Cambria Math" w:hAnsi="Cambria Math" w:cs="Arial"/>
                                      <w:color w:val="4472C4" w:themeColor="accent5"/>
                                      <w:sz w:val="22"/>
                                      <w:szCs w:val="22"/>
                                    </w:rPr>
                                    <m:t>P</m:t>
                                  </m:r>
                                </m:e>
                                <m:sub>
                                  <m:r>
                                    <w:rPr>
                                      <w:rFonts w:ascii="Cambria Math" w:hAnsi="Cambria Math" w:cs="Arial"/>
                                      <w:color w:val="4472C4" w:themeColor="accent5"/>
                                      <w:sz w:val="22"/>
                                      <w:szCs w:val="22"/>
                                    </w:rPr>
                                    <m:t>D</m:t>
                                  </m:r>
                                  <m:r>
                                    <m:rPr>
                                      <m:sty m:val="p"/>
                                    </m:rPr>
                                    <w:rPr>
                                      <w:rFonts w:ascii="Cambria Math" w:hAnsi="Cambria Math" w:cs="Arial"/>
                                      <w:color w:val="4472C4" w:themeColor="accent5"/>
                                      <w:sz w:val="22"/>
                                      <w:szCs w:val="22"/>
                                    </w:rPr>
                                    <m:t>,</m:t>
                                  </m:r>
                                  <m:r>
                                    <w:rPr>
                                      <w:rFonts w:ascii="Cambria Math" w:hAnsi="Cambria Math" w:cs="Arial"/>
                                      <w:color w:val="4472C4" w:themeColor="accent5"/>
                                      <w:sz w:val="22"/>
                                      <w:szCs w:val="22"/>
                                    </w:rPr>
                                    <m:t>S</m:t>
                                  </m:r>
                                </m:sub>
                              </m:sSub>
                              <m:r>
                                <m:rPr>
                                  <m:sty m:val="p"/>
                                </m:rPr>
                                <w:rPr>
                                  <w:rFonts w:ascii="Cambria Math" w:hAnsi="Cambria Math" w:cs="Arial"/>
                                  <w:color w:val="4472C4" w:themeColor="accent5"/>
                                  <w:sz w:val="22"/>
                                  <w:szCs w:val="22"/>
                                </w:rPr>
                                <m:t>×</m:t>
                              </m:r>
                              <m:sSub>
                                <m:sSubPr>
                                  <m:ctrlPr>
                                    <w:rPr>
                                      <w:rFonts w:ascii="Cambria Math" w:hAnsi="Cambria Math" w:cs="Arial"/>
                                      <w:color w:val="4472C4" w:themeColor="accent5"/>
                                      <w:sz w:val="22"/>
                                      <w:szCs w:val="22"/>
                                    </w:rPr>
                                  </m:ctrlPr>
                                </m:sSubPr>
                                <m:e>
                                  <m:r>
                                    <w:rPr>
                                      <w:rFonts w:ascii="Cambria Math" w:hAnsi="Cambria Math" w:cs="Arial"/>
                                      <w:color w:val="4472C4" w:themeColor="accent5"/>
                                      <w:sz w:val="22"/>
                                      <w:szCs w:val="22"/>
                                    </w:rPr>
                                    <m:t>V</m:t>
                                  </m:r>
                                </m:e>
                                <m:sub>
                                  <m:r>
                                    <w:rPr>
                                      <w:rFonts w:ascii="Cambria Math" w:hAnsi="Cambria Math" w:cs="Arial"/>
                                      <w:color w:val="4472C4" w:themeColor="accent5"/>
                                      <w:sz w:val="22"/>
                                      <w:szCs w:val="22"/>
                                    </w:rPr>
                                    <m:t>D</m:t>
                                  </m:r>
                                  <m:r>
                                    <m:rPr>
                                      <m:sty m:val="p"/>
                                    </m:rPr>
                                    <w:rPr>
                                      <w:rFonts w:ascii="Cambria Math" w:hAnsi="Cambria Math" w:cs="Arial"/>
                                      <w:color w:val="4472C4" w:themeColor="accent5"/>
                                      <w:sz w:val="22"/>
                                      <w:szCs w:val="22"/>
                                    </w:rPr>
                                    <m:t>,</m:t>
                                  </m:r>
                                  <m:r>
                                    <w:rPr>
                                      <w:rFonts w:ascii="Cambria Math" w:hAnsi="Cambria Math" w:cs="Arial"/>
                                      <w:color w:val="4472C4" w:themeColor="accent5"/>
                                      <w:sz w:val="22"/>
                                      <w:szCs w:val="22"/>
                                    </w:rPr>
                                    <m:t>S</m:t>
                                  </m:r>
                                </m:sub>
                              </m:sSub>
                            </m:e>
                          </m:d>
                        </m:e>
                      </m:nary>
                    </m:e>
                  </m:d>
                </m:e>
              </m:nary>
            </m:num>
            <m:den>
              <m:nary>
                <m:naryPr>
                  <m:chr m:val="∑"/>
                  <m:limLoc m:val="undOvr"/>
                  <m:ctrlPr>
                    <w:rPr>
                      <w:rFonts w:ascii="Cambria Math" w:hAnsi="Cambria Math" w:cs="Arial"/>
                      <w:color w:val="4472C4" w:themeColor="accent5"/>
                      <w:sz w:val="22"/>
                      <w:szCs w:val="22"/>
                    </w:rPr>
                  </m:ctrlPr>
                </m:naryPr>
                <m:sub>
                  <m:r>
                    <w:rPr>
                      <w:rFonts w:ascii="Cambria Math" w:hAnsi="Cambria Math" w:cs="Arial"/>
                      <w:color w:val="4472C4" w:themeColor="accent5"/>
                      <w:sz w:val="22"/>
                      <w:szCs w:val="22"/>
                    </w:rPr>
                    <m:t>D</m:t>
                  </m:r>
                  <m:r>
                    <m:rPr>
                      <m:sty m:val="p"/>
                    </m:rPr>
                    <w:rPr>
                      <w:rFonts w:ascii="Cambria Math" w:hAnsi="Cambria Math" w:cs="Arial"/>
                      <w:color w:val="4472C4" w:themeColor="accent5"/>
                      <w:sz w:val="22"/>
                      <w:szCs w:val="22"/>
                    </w:rPr>
                    <m:t>=1</m:t>
                  </m:r>
                </m:sub>
                <m:sup>
                  <m:r>
                    <w:rPr>
                      <w:rFonts w:ascii="Cambria Math" w:hAnsi="Cambria Math" w:cs="Arial"/>
                      <w:color w:val="4472C4" w:themeColor="accent5"/>
                      <w:sz w:val="22"/>
                      <w:szCs w:val="22"/>
                    </w:rPr>
                    <m:t>n</m:t>
                  </m:r>
                </m:sup>
                <m:e>
                  <m:d>
                    <m:dPr>
                      <m:begChr m:val="{"/>
                      <m:endChr m:val="}"/>
                      <m:ctrlPr>
                        <w:rPr>
                          <w:rFonts w:ascii="Cambria Math" w:hAnsi="Cambria Math" w:cs="Arial"/>
                          <w:color w:val="4472C4" w:themeColor="accent5"/>
                          <w:sz w:val="22"/>
                          <w:szCs w:val="22"/>
                        </w:rPr>
                      </m:ctrlPr>
                    </m:dPr>
                    <m:e>
                      <m:nary>
                        <m:naryPr>
                          <m:chr m:val="∑"/>
                          <m:limLoc m:val="undOvr"/>
                          <m:ctrlPr>
                            <w:rPr>
                              <w:rFonts w:ascii="Cambria Math" w:hAnsi="Cambria Math" w:cs="Arial"/>
                              <w:color w:val="4472C4" w:themeColor="accent5"/>
                              <w:sz w:val="22"/>
                              <w:szCs w:val="22"/>
                            </w:rPr>
                          </m:ctrlPr>
                        </m:naryPr>
                        <m:sub>
                          <m:r>
                            <w:rPr>
                              <w:rFonts w:ascii="Cambria Math" w:hAnsi="Cambria Math" w:cs="Arial"/>
                              <w:color w:val="4472C4" w:themeColor="accent5"/>
                              <w:sz w:val="22"/>
                              <w:szCs w:val="22"/>
                            </w:rPr>
                            <m:t>S</m:t>
                          </m:r>
                          <m:r>
                            <m:rPr>
                              <m:sty m:val="p"/>
                            </m:rPr>
                            <w:rPr>
                              <w:rFonts w:ascii="Cambria Math" w:hAnsi="Cambria Math" w:cs="Arial"/>
                              <w:color w:val="4472C4" w:themeColor="accent5"/>
                              <w:sz w:val="22"/>
                              <w:szCs w:val="22"/>
                            </w:rPr>
                            <m:t>=1</m:t>
                          </m:r>
                        </m:sub>
                        <m:sup>
                          <m:r>
                            <m:rPr>
                              <m:sty m:val="p"/>
                            </m:rPr>
                            <w:rPr>
                              <w:rFonts w:ascii="Cambria Math" w:hAnsi="Cambria Math" w:cs="Arial"/>
                              <w:color w:val="4472C4" w:themeColor="accent5"/>
                              <w:sz w:val="22"/>
                              <w:szCs w:val="22"/>
                            </w:rPr>
                            <m:t>5</m:t>
                          </m:r>
                        </m:sup>
                        <m:e>
                          <m:d>
                            <m:dPr>
                              <m:ctrlPr>
                                <w:rPr>
                                  <w:rFonts w:ascii="Cambria Math" w:hAnsi="Cambria Math" w:cs="Arial"/>
                                  <w:color w:val="4472C4" w:themeColor="accent5"/>
                                  <w:sz w:val="22"/>
                                  <w:szCs w:val="22"/>
                                </w:rPr>
                              </m:ctrlPr>
                            </m:dPr>
                            <m:e>
                              <m:sSub>
                                <m:sSubPr>
                                  <m:ctrlPr>
                                    <w:rPr>
                                      <w:rFonts w:ascii="Cambria Math" w:hAnsi="Cambria Math" w:cs="Arial"/>
                                      <w:color w:val="4472C4" w:themeColor="accent5"/>
                                      <w:sz w:val="22"/>
                                      <w:szCs w:val="22"/>
                                    </w:rPr>
                                  </m:ctrlPr>
                                </m:sSubPr>
                                <m:e>
                                  <m:r>
                                    <w:rPr>
                                      <w:rFonts w:ascii="Cambria Math" w:hAnsi="Cambria Math" w:cs="Arial"/>
                                      <w:color w:val="4472C4" w:themeColor="accent5"/>
                                      <w:sz w:val="22"/>
                                      <w:szCs w:val="22"/>
                                    </w:rPr>
                                    <m:t>V</m:t>
                                  </m:r>
                                </m:e>
                                <m:sub>
                                  <m:r>
                                    <w:rPr>
                                      <w:rFonts w:ascii="Cambria Math" w:hAnsi="Cambria Math" w:cs="Arial"/>
                                      <w:color w:val="4472C4" w:themeColor="accent5"/>
                                      <w:sz w:val="22"/>
                                      <w:szCs w:val="22"/>
                                    </w:rPr>
                                    <m:t>D</m:t>
                                  </m:r>
                                  <m:r>
                                    <m:rPr>
                                      <m:sty m:val="p"/>
                                    </m:rPr>
                                    <w:rPr>
                                      <w:rFonts w:ascii="Cambria Math" w:hAnsi="Cambria Math" w:cs="Arial"/>
                                      <w:color w:val="4472C4" w:themeColor="accent5"/>
                                      <w:sz w:val="22"/>
                                      <w:szCs w:val="22"/>
                                    </w:rPr>
                                    <m:t>,</m:t>
                                  </m:r>
                                  <m:r>
                                    <w:rPr>
                                      <w:rFonts w:ascii="Cambria Math" w:hAnsi="Cambria Math" w:cs="Arial"/>
                                      <w:color w:val="4472C4" w:themeColor="accent5"/>
                                      <w:sz w:val="22"/>
                                      <w:szCs w:val="22"/>
                                    </w:rPr>
                                    <m:t>S</m:t>
                                  </m:r>
                                </m:sub>
                              </m:sSub>
                            </m:e>
                          </m:d>
                        </m:e>
                      </m:nary>
                    </m:e>
                  </m:d>
                </m:e>
              </m:nary>
            </m:den>
          </m:f>
        </m:oMath>
      </m:oMathPara>
    </w:p>
    <w:p w14:paraId="5EB55EBB" w14:textId="77777777" w:rsidR="00525C61" w:rsidRPr="006430C7" w:rsidRDefault="00525C61" w:rsidP="00525C61">
      <w:pPr>
        <w:pStyle w:val="BodyText"/>
        <w:rPr>
          <w:rFonts w:ascii="Arial" w:hAnsi="Arial" w:cs="Arial"/>
          <w:color w:val="4472C4" w:themeColor="accent5"/>
          <w:sz w:val="22"/>
          <w:szCs w:val="22"/>
        </w:rPr>
      </w:pPr>
      <w:r w:rsidRPr="006430C7">
        <w:rPr>
          <w:rFonts w:ascii="Arial" w:hAnsi="Arial" w:cs="Arial"/>
          <w:color w:val="4472C4" w:themeColor="accent5"/>
          <w:sz w:val="22"/>
          <w:szCs w:val="22"/>
        </w:rPr>
        <w:t>Where:</w:t>
      </w:r>
    </w:p>
    <w:p w14:paraId="6F001907" w14:textId="77777777" w:rsidR="00525C61" w:rsidRPr="006430C7" w:rsidRDefault="00525C61" w:rsidP="00525C61">
      <w:pPr>
        <w:pStyle w:val="BodyText"/>
        <w:tabs>
          <w:tab w:val="left" w:pos="567"/>
          <w:tab w:val="left" w:pos="1134"/>
        </w:tabs>
        <w:ind w:left="1134" w:hanging="1134"/>
        <w:rPr>
          <w:rFonts w:ascii="Arial" w:hAnsi="Arial" w:cs="Arial"/>
          <w:color w:val="4472C4" w:themeColor="accent5"/>
          <w:sz w:val="22"/>
          <w:szCs w:val="22"/>
        </w:rPr>
      </w:pPr>
      <w:r w:rsidRPr="006430C7">
        <w:rPr>
          <w:rFonts w:ascii="Arial" w:hAnsi="Arial" w:cs="Arial"/>
          <w:color w:val="4472C4" w:themeColor="accent5"/>
          <w:sz w:val="22"/>
          <w:szCs w:val="22"/>
        </w:rPr>
        <w:t xml:space="preserve">n </w:t>
      </w:r>
      <w:r w:rsidRPr="006430C7">
        <w:rPr>
          <w:rFonts w:ascii="Arial" w:hAnsi="Arial" w:cs="Arial"/>
          <w:color w:val="4472C4" w:themeColor="accent5"/>
          <w:sz w:val="22"/>
          <w:szCs w:val="22"/>
        </w:rPr>
        <w:tab/>
        <w:t xml:space="preserve">= </w:t>
      </w:r>
      <w:r w:rsidRPr="006430C7">
        <w:rPr>
          <w:rFonts w:ascii="Arial" w:hAnsi="Arial" w:cs="Arial"/>
          <w:color w:val="4472C4" w:themeColor="accent5"/>
          <w:sz w:val="22"/>
          <w:szCs w:val="22"/>
        </w:rPr>
        <w:tab/>
        <w:t>Days in DUAFG period</w:t>
      </w:r>
    </w:p>
    <w:p w14:paraId="71CD0D5D" w14:textId="77777777" w:rsidR="00525C61" w:rsidRPr="006430C7" w:rsidRDefault="00525C61" w:rsidP="00525C61">
      <w:pPr>
        <w:pStyle w:val="BodyText"/>
        <w:tabs>
          <w:tab w:val="left" w:pos="567"/>
          <w:tab w:val="left" w:pos="1134"/>
        </w:tabs>
        <w:ind w:left="1134" w:hanging="1134"/>
        <w:rPr>
          <w:rFonts w:ascii="Arial" w:hAnsi="Arial" w:cs="Arial"/>
          <w:color w:val="4472C4" w:themeColor="accent5"/>
          <w:sz w:val="22"/>
          <w:szCs w:val="22"/>
        </w:rPr>
      </w:pPr>
      <w:r w:rsidRPr="006430C7">
        <w:rPr>
          <w:rFonts w:ascii="Arial" w:hAnsi="Arial" w:cs="Arial"/>
          <w:color w:val="4472C4" w:themeColor="accent5"/>
          <w:sz w:val="22"/>
          <w:szCs w:val="22"/>
        </w:rPr>
        <w:t xml:space="preserve">D </w:t>
      </w:r>
      <w:r w:rsidRPr="006430C7">
        <w:rPr>
          <w:rFonts w:ascii="Arial" w:hAnsi="Arial" w:cs="Arial"/>
          <w:color w:val="4472C4" w:themeColor="accent5"/>
          <w:sz w:val="22"/>
          <w:szCs w:val="22"/>
        </w:rPr>
        <w:tab/>
        <w:t xml:space="preserve">= </w:t>
      </w:r>
      <w:r w:rsidRPr="006430C7">
        <w:rPr>
          <w:rFonts w:ascii="Arial" w:hAnsi="Arial" w:cs="Arial"/>
          <w:color w:val="4472C4" w:themeColor="accent5"/>
          <w:sz w:val="22"/>
          <w:szCs w:val="22"/>
        </w:rPr>
        <w:tab/>
        <w:t>Gas day in DUAFG period</w:t>
      </w:r>
    </w:p>
    <w:p w14:paraId="6286914F" w14:textId="77777777" w:rsidR="00525C61" w:rsidRPr="006430C7" w:rsidRDefault="00525C61" w:rsidP="00525C61">
      <w:pPr>
        <w:pStyle w:val="BodyText"/>
        <w:tabs>
          <w:tab w:val="left" w:pos="567"/>
          <w:tab w:val="left" w:pos="1134"/>
        </w:tabs>
        <w:ind w:left="1134" w:hanging="1134"/>
        <w:rPr>
          <w:rFonts w:ascii="Arial" w:hAnsi="Arial" w:cs="Arial"/>
          <w:color w:val="4472C4" w:themeColor="accent5"/>
          <w:sz w:val="22"/>
          <w:szCs w:val="22"/>
        </w:rPr>
      </w:pPr>
      <w:r w:rsidRPr="006430C7">
        <w:rPr>
          <w:rFonts w:ascii="Arial" w:hAnsi="Arial" w:cs="Arial"/>
          <w:color w:val="4472C4" w:themeColor="accent5"/>
          <w:sz w:val="22"/>
          <w:szCs w:val="22"/>
        </w:rPr>
        <w:t xml:space="preserve">S </w:t>
      </w:r>
      <w:r w:rsidRPr="006430C7">
        <w:rPr>
          <w:rFonts w:ascii="Arial" w:hAnsi="Arial" w:cs="Arial"/>
          <w:color w:val="4472C4" w:themeColor="accent5"/>
          <w:sz w:val="22"/>
          <w:szCs w:val="22"/>
        </w:rPr>
        <w:tab/>
        <w:t xml:space="preserve">= </w:t>
      </w:r>
      <w:r w:rsidRPr="006430C7">
        <w:rPr>
          <w:rFonts w:ascii="Arial" w:hAnsi="Arial" w:cs="Arial"/>
          <w:color w:val="4472C4" w:themeColor="accent5"/>
          <w:sz w:val="22"/>
          <w:szCs w:val="22"/>
        </w:rPr>
        <w:tab/>
        <w:t>Scheduling interval</w:t>
      </w:r>
    </w:p>
    <w:p w14:paraId="5F816C86" w14:textId="77777777" w:rsidR="00525C61" w:rsidRPr="006430C7" w:rsidRDefault="00525C61" w:rsidP="006430C7">
      <w:pPr>
        <w:pStyle w:val="BodyText"/>
        <w:tabs>
          <w:tab w:val="left" w:pos="567"/>
          <w:tab w:val="left" w:pos="1134"/>
        </w:tabs>
        <w:ind w:left="1134" w:hanging="1134"/>
        <w:rPr>
          <w:rFonts w:ascii="Arial" w:hAnsi="Arial" w:cs="Arial"/>
          <w:color w:val="4472C4" w:themeColor="accent5"/>
          <w:sz w:val="22"/>
          <w:szCs w:val="22"/>
        </w:rPr>
      </w:pPr>
      <w:r w:rsidRPr="006430C7">
        <w:rPr>
          <w:rFonts w:ascii="Arial" w:hAnsi="Arial" w:cs="Arial"/>
          <w:color w:val="4472C4" w:themeColor="accent5"/>
          <w:sz w:val="22"/>
          <w:szCs w:val="22"/>
        </w:rPr>
        <w:t>P</w:t>
      </w:r>
      <w:r w:rsidRPr="006430C7">
        <w:rPr>
          <w:rFonts w:ascii="Arial" w:hAnsi="Arial" w:cs="Arial"/>
          <w:color w:val="4472C4" w:themeColor="accent5"/>
          <w:sz w:val="22"/>
          <w:szCs w:val="22"/>
          <w:vertAlign w:val="subscript"/>
        </w:rPr>
        <w:t xml:space="preserve">D,S </w:t>
      </w:r>
      <w:r w:rsidRPr="006430C7">
        <w:rPr>
          <w:rFonts w:ascii="Arial" w:hAnsi="Arial" w:cs="Arial"/>
          <w:color w:val="4472C4" w:themeColor="accent5"/>
          <w:sz w:val="22"/>
          <w:szCs w:val="22"/>
        </w:rPr>
        <w:tab/>
        <w:t xml:space="preserve">= </w:t>
      </w:r>
      <w:r w:rsidRPr="006430C7">
        <w:rPr>
          <w:rFonts w:ascii="Arial" w:hAnsi="Arial" w:cs="Arial"/>
          <w:color w:val="4472C4" w:themeColor="accent5"/>
          <w:sz w:val="22"/>
          <w:szCs w:val="22"/>
        </w:rPr>
        <w:tab/>
        <w:t>Deviation price for gas day D, scheduling interval S (in $/GJ)</w:t>
      </w:r>
      <w:r w:rsidR="006430C7" w:rsidRPr="006430C7">
        <w:rPr>
          <w:rFonts w:ascii="Arial" w:hAnsi="Arial" w:cs="Arial"/>
          <w:color w:val="4472C4" w:themeColor="accent5"/>
          <w:sz w:val="22"/>
          <w:szCs w:val="22"/>
        </w:rPr>
        <w:t xml:space="preserve">. </w:t>
      </w:r>
      <w:r w:rsidRPr="006430C7">
        <w:rPr>
          <w:rFonts w:ascii="Arial" w:hAnsi="Arial" w:cs="Arial"/>
          <w:color w:val="4472C4" w:themeColor="accent5"/>
          <w:sz w:val="22"/>
          <w:szCs w:val="22"/>
        </w:rPr>
        <w:t>In accordance with rule 235(5)(b) of the Rules, this is the market price determined for the commencement of the next scheduling interval after interval S)</w:t>
      </w:r>
    </w:p>
    <w:p w14:paraId="032D2EF2" w14:textId="77777777" w:rsidR="00525C61" w:rsidRPr="006430C7" w:rsidRDefault="00525C61" w:rsidP="00525C61">
      <w:pPr>
        <w:pStyle w:val="BodyText"/>
        <w:tabs>
          <w:tab w:val="left" w:pos="567"/>
          <w:tab w:val="left" w:pos="1134"/>
        </w:tabs>
        <w:ind w:left="1134" w:hanging="1134"/>
        <w:rPr>
          <w:rFonts w:ascii="Arial" w:hAnsi="Arial" w:cs="Arial"/>
          <w:color w:val="4472C4" w:themeColor="accent5"/>
          <w:sz w:val="22"/>
          <w:szCs w:val="22"/>
        </w:rPr>
      </w:pPr>
      <w:r w:rsidRPr="006430C7">
        <w:rPr>
          <w:rFonts w:ascii="Arial" w:hAnsi="Arial" w:cs="Arial"/>
          <w:color w:val="4472C4" w:themeColor="accent5"/>
          <w:sz w:val="22"/>
          <w:szCs w:val="22"/>
        </w:rPr>
        <w:t>V</w:t>
      </w:r>
      <w:r w:rsidRPr="006430C7">
        <w:rPr>
          <w:rFonts w:ascii="Arial" w:hAnsi="Arial" w:cs="Arial"/>
          <w:color w:val="4472C4" w:themeColor="accent5"/>
          <w:sz w:val="22"/>
          <w:szCs w:val="22"/>
          <w:vertAlign w:val="subscript"/>
        </w:rPr>
        <w:t>D,S</w:t>
      </w:r>
      <w:r w:rsidRPr="006430C7">
        <w:rPr>
          <w:rFonts w:ascii="Arial" w:hAnsi="Arial" w:cs="Arial"/>
          <w:color w:val="4472C4" w:themeColor="accent5"/>
          <w:sz w:val="22"/>
          <w:szCs w:val="22"/>
        </w:rPr>
        <w:tab/>
        <w:t xml:space="preserve">= </w:t>
      </w:r>
      <w:r w:rsidRPr="006430C7">
        <w:rPr>
          <w:rFonts w:ascii="Arial" w:hAnsi="Arial" w:cs="Arial"/>
          <w:color w:val="4472C4" w:themeColor="accent5"/>
          <w:sz w:val="22"/>
          <w:szCs w:val="22"/>
        </w:rPr>
        <w:tab/>
        <w:t>Total quantity of custody transfer meter (“CTM”) injections from the declared transmission system into all declared distribution systems during scheduling interval S on gas day D, as at the most recent revision prior to the date AVWMP is determined, (net of any withdrawals from declared distribution systems to the declared transmission system at bi-directional meters) (in GJ).</w:t>
      </w:r>
    </w:p>
    <w:p w14:paraId="776E9A5B" w14:textId="77777777" w:rsidR="00525C61" w:rsidRPr="006430C7" w:rsidRDefault="00525C61" w:rsidP="00525C61">
      <w:pPr>
        <w:rPr>
          <w:rFonts w:ascii="Arial" w:hAnsi="Arial" w:cs="Arial"/>
          <w:sz w:val="22"/>
          <w:szCs w:val="22"/>
        </w:rPr>
      </w:pPr>
    </w:p>
    <w:p w14:paraId="692487D9" w14:textId="77777777" w:rsidR="00525C61" w:rsidRPr="006430C7" w:rsidRDefault="00525C61" w:rsidP="00525C61">
      <w:pPr>
        <w:rPr>
          <w:rFonts w:ascii="Arial" w:hAnsi="Arial" w:cs="Arial"/>
          <w:color w:val="4472C4" w:themeColor="accent5"/>
          <w:sz w:val="22"/>
          <w:szCs w:val="22"/>
        </w:rPr>
      </w:pPr>
      <w:r w:rsidRPr="006430C7">
        <w:rPr>
          <w:rFonts w:ascii="Arial" w:hAnsi="Arial" w:cs="Arial"/>
          <w:color w:val="4472C4" w:themeColor="accent5"/>
          <w:sz w:val="22"/>
          <w:szCs w:val="22"/>
        </w:rPr>
        <w:t>The AVWMP represents the price referred to as ‘X’ in the Reconciliation Amount formula in item C2 of Part C of the Victorian Gas Distribution System Code.</w:t>
      </w:r>
    </w:p>
    <w:p w14:paraId="397C8B3D" w14:textId="77777777" w:rsidR="00525C61" w:rsidRPr="00B61311" w:rsidRDefault="00525C61" w:rsidP="00525C61">
      <w:pPr>
        <w:rPr>
          <w:rFonts w:ascii="Arial" w:hAnsi="Arial" w:cs="Arial"/>
          <w:sz w:val="22"/>
          <w:szCs w:val="22"/>
        </w:rPr>
      </w:pPr>
    </w:p>
    <w:p w14:paraId="79F68337" w14:textId="77777777" w:rsidR="00525C61" w:rsidRPr="006430C7" w:rsidRDefault="00525C61" w:rsidP="00525C61">
      <w:pPr>
        <w:pStyle w:val="BodyText"/>
        <w:numPr>
          <w:ilvl w:val="0"/>
          <w:numId w:val="6"/>
        </w:numPr>
        <w:spacing w:before="120" w:after="120"/>
        <w:ind w:hanging="720"/>
        <w:rPr>
          <w:rFonts w:ascii="Arial" w:hAnsi="Arial" w:cs="Arial"/>
          <w:b/>
          <w:sz w:val="22"/>
          <w:szCs w:val="22"/>
        </w:rPr>
      </w:pPr>
      <w:r w:rsidRPr="006430C7">
        <w:rPr>
          <w:rFonts w:ascii="Arial" w:hAnsi="Arial" w:cs="Arial"/>
          <w:b/>
          <w:sz w:val="22"/>
          <w:szCs w:val="22"/>
        </w:rPr>
        <w:t>Appendix C</w:t>
      </w:r>
    </w:p>
    <w:p w14:paraId="0114CFF1" w14:textId="77777777" w:rsidR="00525C61" w:rsidRPr="006430C7" w:rsidRDefault="00525C61" w:rsidP="00525C61">
      <w:pPr>
        <w:rPr>
          <w:sz w:val="22"/>
          <w:szCs w:val="22"/>
        </w:rPr>
      </w:pPr>
    </w:p>
    <w:p w14:paraId="167A06E0" w14:textId="77777777" w:rsidR="00525C61" w:rsidRPr="006430C7" w:rsidRDefault="00525C61" w:rsidP="00525C61">
      <w:pPr>
        <w:rPr>
          <w:rFonts w:ascii="Arial" w:hAnsi="Arial" w:cs="Arial"/>
          <w:sz w:val="22"/>
          <w:szCs w:val="22"/>
        </w:rPr>
      </w:pPr>
      <w:r w:rsidRPr="00D11670">
        <w:rPr>
          <w:rFonts w:ascii="Arial" w:hAnsi="Arial" w:cs="Arial"/>
          <w:sz w:val="22"/>
          <w:szCs w:val="22"/>
        </w:rPr>
        <w:t xml:space="preserve">Delete Appendix C, </w:t>
      </w:r>
      <w:r w:rsidRPr="006430C7">
        <w:rPr>
          <w:rFonts w:ascii="Arial" w:hAnsi="Arial" w:cs="Arial"/>
          <w:sz w:val="22"/>
          <w:szCs w:val="22"/>
        </w:rPr>
        <w:t>substitute:</w:t>
      </w:r>
    </w:p>
    <w:p w14:paraId="62668D4D" w14:textId="77777777" w:rsidR="00525C61" w:rsidRPr="00B61311" w:rsidRDefault="00525C61" w:rsidP="00525C61">
      <w:pPr>
        <w:rPr>
          <w:rFonts w:ascii="Arial" w:hAnsi="Arial" w:cs="Arial"/>
        </w:rPr>
      </w:pPr>
    </w:p>
    <w:p w14:paraId="1347A4B8" w14:textId="77777777" w:rsidR="00525C61" w:rsidRPr="0060203D" w:rsidRDefault="00525C61" w:rsidP="00525C61">
      <w:pPr>
        <w:rPr>
          <w:rFonts w:ascii="Arial" w:hAnsi="Arial" w:cs="Arial"/>
          <w:color w:val="4472C4" w:themeColor="accent5"/>
          <w:sz w:val="22"/>
          <w:szCs w:val="22"/>
        </w:rPr>
      </w:pPr>
      <w:r w:rsidRPr="0060203D">
        <w:rPr>
          <w:rFonts w:ascii="Arial" w:hAnsi="Arial" w:cs="Arial"/>
          <w:color w:val="4472C4" w:themeColor="accent5"/>
          <w:sz w:val="22"/>
          <w:szCs w:val="22"/>
        </w:rPr>
        <w:t xml:space="preserve">The reconciliation amount for a DUAFG year is the sum of the reconciliation amounts for each of the DUAFG periods in that DUAFG year.  </w:t>
      </w:r>
    </w:p>
    <w:p w14:paraId="3E86EBA1" w14:textId="77777777" w:rsidR="00525C61" w:rsidRPr="0060203D" w:rsidRDefault="00525C61" w:rsidP="00525C61">
      <w:pPr>
        <w:rPr>
          <w:rFonts w:ascii="Arial" w:hAnsi="Arial" w:cs="Arial"/>
          <w:color w:val="4472C4" w:themeColor="accent5"/>
          <w:sz w:val="22"/>
          <w:szCs w:val="22"/>
        </w:rPr>
      </w:pPr>
    </w:p>
    <w:p w14:paraId="590A4F96" w14:textId="77777777" w:rsidR="00525C61" w:rsidRPr="0060203D" w:rsidRDefault="00525C61" w:rsidP="00525C61">
      <w:pPr>
        <w:rPr>
          <w:rFonts w:ascii="Arial" w:hAnsi="Arial" w:cs="Arial"/>
          <w:color w:val="4472C4" w:themeColor="accent5"/>
          <w:sz w:val="22"/>
          <w:szCs w:val="22"/>
        </w:rPr>
      </w:pPr>
      <w:r w:rsidRPr="0060203D">
        <w:rPr>
          <w:rFonts w:ascii="Arial" w:hAnsi="Arial" w:cs="Arial"/>
          <w:color w:val="4472C4" w:themeColor="accent5"/>
          <w:sz w:val="22"/>
          <w:szCs w:val="22"/>
        </w:rPr>
        <w:t>The reconciliation amount for a DUAFG period is:</w:t>
      </w:r>
    </w:p>
    <w:p w14:paraId="7B9C0DFF" w14:textId="77777777" w:rsidR="00525C61" w:rsidRPr="006430C7" w:rsidRDefault="00525C61" w:rsidP="00525C61">
      <w:pPr>
        <w:rPr>
          <w:rFonts w:ascii="Arial" w:hAnsi="Arial" w:cs="Arial"/>
          <w:color w:val="4472C4" w:themeColor="accent5"/>
        </w:rPr>
      </w:pPr>
    </w:p>
    <w:p w14:paraId="2CD1EE0B" w14:textId="77777777" w:rsidR="00525C61" w:rsidRPr="006430C7" w:rsidRDefault="00525C61" w:rsidP="00525C61">
      <w:pPr>
        <w:tabs>
          <w:tab w:val="left" w:pos="1080"/>
        </w:tabs>
        <w:ind w:left="1080"/>
        <w:rPr>
          <w:rFonts w:ascii="Arial" w:hAnsi="Arial" w:cs="Arial"/>
          <w:b/>
          <w:color w:val="4472C4" w:themeColor="accent5"/>
        </w:rPr>
      </w:pPr>
      <w:r w:rsidRPr="006430C7">
        <w:rPr>
          <w:rFonts w:ascii="Arial" w:hAnsi="Arial" w:cs="Arial"/>
          <w:b/>
          <w:color w:val="4472C4" w:themeColor="accent5"/>
        </w:rPr>
        <w:t>( X + Y ) *  ( B – A )</w:t>
      </w:r>
    </w:p>
    <w:p w14:paraId="0CA5DFF6" w14:textId="77777777" w:rsidR="00525C61" w:rsidRPr="006430C7" w:rsidRDefault="00525C61" w:rsidP="00525C61">
      <w:pPr>
        <w:tabs>
          <w:tab w:val="left" w:pos="1080"/>
        </w:tabs>
        <w:ind w:left="1080"/>
        <w:rPr>
          <w:rFonts w:ascii="Arial" w:hAnsi="Arial" w:cs="Arial"/>
          <w:b/>
          <w:color w:val="4472C4" w:themeColor="accent5"/>
        </w:rPr>
      </w:pPr>
    </w:p>
    <w:p w14:paraId="528D8A2D" w14:textId="77777777" w:rsidR="00525C61" w:rsidRPr="006430C7" w:rsidRDefault="00525C61" w:rsidP="00525C61">
      <w:pPr>
        <w:tabs>
          <w:tab w:val="left" w:pos="1080"/>
        </w:tabs>
        <w:ind w:left="1080"/>
        <w:rPr>
          <w:rFonts w:ascii="Arial" w:hAnsi="Arial" w:cs="Arial"/>
          <w:color w:val="4472C4" w:themeColor="accent5"/>
        </w:rPr>
      </w:pPr>
      <w:r w:rsidRPr="006430C7">
        <w:rPr>
          <w:rFonts w:ascii="Arial" w:hAnsi="Arial" w:cs="Arial"/>
          <w:color w:val="4472C4" w:themeColor="accent5"/>
        </w:rPr>
        <w:t>Where:</w:t>
      </w:r>
    </w:p>
    <w:p w14:paraId="1AFAC7D4" w14:textId="77777777" w:rsidR="00525C61" w:rsidRPr="006430C7" w:rsidRDefault="00525C61" w:rsidP="00525C61">
      <w:pPr>
        <w:tabs>
          <w:tab w:val="left" w:pos="1080"/>
        </w:tabs>
        <w:rPr>
          <w:rFonts w:ascii="Arial" w:hAnsi="Arial" w:cs="Arial"/>
          <w:color w:val="4472C4" w:themeColor="accent5"/>
        </w:rPr>
      </w:pPr>
    </w:p>
    <w:p w14:paraId="21D0BD93" w14:textId="77777777" w:rsidR="00525C61" w:rsidRPr="006430C7" w:rsidRDefault="00525C61" w:rsidP="00525C61">
      <w:pPr>
        <w:tabs>
          <w:tab w:val="left" w:pos="1080"/>
          <w:tab w:val="left" w:pos="1701"/>
        </w:tabs>
        <w:spacing w:after="120"/>
        <w:ind w:left="2127" w:hanging="851"/>
        <w:rPr>
          <w:rFonts w:ascii="Arial" w:hAnsi="Arial" w:cs="Arial"/>
          <w:color w:val="4472C4" w:themeColor="accent5"/>
        </w:rPr>
      </w:pPr>
      <w:r w:rsidRPr="006430C7">
        <w:rPr>
          <w:rFonts w:ascii="Arial" w:hAnsi="Arial" w:cs="Arial"/>
          <w:color w:val="4472C4" w:themeColor="accent5"/>
        </w:rPr>
        <w:t>X</w:t>
      </w:r>
      <w:r w:rsidRPr="006430C7">
        <w:rPr>
          <w:rFonts w:ascii="Arial" w:hAnsi="Arial" w:cs="Arial"/>
          <w:color w:val="4472C4" w:themeColor="accent5"/>
        </w:rPr>
        <w:tab/>
        <w:t>=</w:t>
      </w:r>
      <w:r w:rsidRPr="006430C7">
        <w:rPr>
          <w:rFonts w:ascii="Arial" w:hAnsi="Arial" w:cs="Arial"/>
          <w:color w:val="4472C4" w:themeColor="accent5"/>
        </w:rPr>
        <w:tab/>
        <w:t>AVWMP as determined by AEMO under clause 2.1.1 for the DUAFG period;</w:t>
      </w:r>
    </w:p>
    <w:p w14:paraId="600574A9" w14:textId="77777777" w:rsidR="00525C61" w:rsidRPr="006430C7" w:rsidRDefault="00525C61" w:rsidP="00525C61">
      <w:pPr>
        <w:tabs>
          <w:tab w:val="left" w:pos="1080"/>
          <w:tab w:val="left" w:pos="1701"/>
        </w:tabs>
        <w:spacing w:after="120"/>
        <w:ind w:left="2127" w:hanging="851"/>
        <w:rPr>
          <w:rFonts w:ascii="Arial" w:hAnsi="Arial" w:cs="Arial"/>
          <w:color w:val="4472C4" w:themeColor="accent5"/>
        </w:rPr>
      </w:pPr>
      <w:r w:rsidRPr="006430C7">
        <w:rPr>
          <w:rFonts w:ascii="Arial" w:hAnsi="Arial" w:cs="Arial"/>
          <w:color w:val="4472C4" w:themeColor="accent5"/>
        </w:rPr>
        <w:t>Y</w:t>
      </w:r>
      <w:r w:rsidRPr="006430C7">
        <w:rPr>
          <w:rFonts w:ascii="Arial" w:hAnsi="Arial" w:cs="Arial"/>
          <w:color w:val="4472C4" w:themeColor="accent5"/>
        </w:rPr>
        <w:tab/>
        <w:t>=</w:t>
      </w:r>
      <w:r w:rsidRPr="006430C7">
        <w:rPr>
          <w:rFonts w:ascii="Arial" w:hAnsi="Arial" w:cs="Arial"/>
          <w:color w:val="4472C4" w:themeColor="accent5"/>
        </w:rPr>
        <w:tab/>
        <w:t xml:space="preserve">the average transmission tariff for the DUAFG period expressed in $ per gigajoule as calculated under the declared transmission system service provider’s prevailing reference tariffs; </w:t>
      </w:r>
    </w:p>
    <w:p w14:paraId="4C596371" w14:textId="77777777" w:rsidR="00525C61" w:rsidRPr="006430C7" w:rsidRDefault="00525C61" w:rsidP="00525C61">
      <w:pPr>
        <w:tabs>
          <w:tab w:val="left" w:pos="1080"/>
          <w:tab w:val="left" w:pos="1701"/>
        </w:tabs>
        <w:spacing w:after="120"/>
        <w:ind w:left="2127" w:hanging="851"/>
        <w:rPr>
          <w:rFonts w:ascii="Arial" w:hAnsi="Arial" w:cs="Arial"/>
          <w:color w:val="4472C4" w:themeColor="accent5"/>
        </w:rPr>
      </w:pPr>
      <w:r w:rsidRPr="006430C7">
        <w:rPr>
          <w:rFonts w:ascii="Arial" w:hAnsi="Arial" w:cs="Arial"/>
          <w:color w:val="4472C4" w:themeColor="accent5"/>
        </w:rPr>
        <w:t>A</w:t>
      </w:r>
      <w:r w:rsidRPr="006430C7">
        <w:rPr>
          <w:rFonts w:ascii="Arial" w:hAnsi="Arial" w:cs="Arial"/>
          <w:color w:val="4472C4" w:themeColor="accent5"/>
        </w:rPr>
        <w:tab/>
        <w:t>=</w:t>
      </w:r>
      <w:r w:rsidRPr="006430C7">
        <w:rPr>
          <w:rFonts w:ascii="Arial" w:hAnsi="Arial" w:cs="Arial"/>
          <w:color w:val="4472C4" w:themeColor="accent5"/>
        </w:rPr>
        <w:tab/>
        <w:t>D = (E/(1-G))</w:t>
      </w:r>
    </w:p>
    <w:p w14:paraId="1C48BD0C" w14:textId="77777777" w:rsidR="00525C61" w:rsidRPr="006430C7" w:rsidRDefault="00525C61" w:rsidP="00525C61">
      <w:pPr>
        <w:tabs>
          <w:tab w:val="left" w:pos="1080"/>
          <w:tab w:val="left" w:pos="1701"/>
          <w:tab w:val="left" w:pos="2552"/>
          <w:tab w:val="left" w:pos="3402"/>
        </w:tabs>
        <w:spacing w:after="120"/>
        <w:ind w:left="2835" w:hanging="567"/>
        <w:rPr>
          <w:rFonts w:ascii="Arial" w:hAnsi="Arial" w:cs="Arial"/>
          <w:color w:val="4472C4" w:themeColor="accent5"/>
        </w:rPr>
      </w:pPr>
      <w:r w:rsidRPr="006430C7">
        <w:rPr>
          <w:rFonts w:ascii="Arial" w:hAnsi="Arial" w:cs="Arial"/>
          <w:color w:val="4472C4" w:themeColor="accent5"/>
        </w:rPr>
        <w:t>D</w:t>
      </w:r>
      <w:r w:rsidRPr="006430C7">
        <w:rPr>
          <w:rFonts w:ascii="Arial" w:hAnsi="Arial" w:cs="Arial"/>
          <w:color w:val="4472C4" w:themeColor="accent5"/>
        </w:rPr>
        <w:tab/>
        <w:t>=</w:t>
      </w:r>
      <w:r w:rsidRPr="006430C7">
        <w:rPr>
          <w:rFonts w:ascii="Arial" w:hAnsi="Arial" w:cs="Arial"/>
          <w:color w:val="4472C4" w:themeColor="accent5"/>
        </w:rPr>
        <w:tab/>
        <w:t>Amount determined by AEMO for declared wholesale gas market settlement purposes as quantity of gas withdrawn from the declared transmission system by the Distributor for Market Participants at the connection points for the DUAFG period;</w:t>
      </w:r>
    </w:p>
    <w:p w14:paraId="2D89246A" w14:textId="77777777" w:rsidR="00525C61" w:rsidRPr="006430C7" w:rsidRDefault="00525C61" w:rsidP="00525C61">
      <w:pPr>
        <w:tabs>
          <w:tab w:val="left" w:pos="1080"/>
          <w:tab w:val="left" w:pos="1701"/>
          <w:tab w:val="left" w:pos="2552"/>
          <w:tab w:val="left" w:pos="3402"/>
        </w:tabs>
        <w:spacing w:after="120"/>
        <w:ind w:left="2835" w:hanging="567"/>
        <w:rPr>
          <w:rFonts w:ascii="Arial" w:hAnsi="Arial" w:cs="Arial"/>
          <w:color w:val="4472C4" w:themeColor="accent5"/>
        </w:rPr>
      </w:pPr>
      <w:r w:rsidRPr="006430C7">
        <w:rPr>
          <w:rFonts w:ascii="Arial" w:hAnsi="Arial" w:cs="Arial"/>
          <w:color w:val="4472C4" w:themeColor="accent5"/>
        </w:rPr>
        <w:t>E</w:t>
      </w:r>
      <w:r w:rsidRPr="006430C7">
        <w:rPr>
          <w:rFonts w:ascii="Arial" w:hAnsi="Arial" w:cs="Arial"/>
          <w:color w:val="4472C4" w:themeColor="accent5"/>
        </w:rPr>
        <w:tab/>
        <w:t>=</w:t>
      </w:r>
      <w:r w:rsidRPr="006430C7">
        <w:rPr>
          <w:rFonts w:ascii="Arial" w:hAnsi="Arial" w:cs="Arial"/>
          <w:color w:val="4472C4" w:themeColor="accent5"/>
        </w:rPr>
        <w:tab/>
        <w:t>the quantity of gas withdrawn by Distributor for Market Participants at all Class A supply points for the DUAFG period;</w:t>
      </w:r>
    </w:p>
    <w:p w14:paraId="0146D30C" w14:textId="77777777" w:rsidR="00525C61" w:rsidRPr="006430C7" w:rsidRDefault="00525C61" w:rsidP="00525C61">
      <w:pPr>
        <w:tabs>
          <w:tab w:val="left" w:pos="1080"/>
          <w:tab w:val="left" w:pos="1701"/>
          <w:tab w:val="left" w:pos="2552"/>
          <w:tab w:val="left" w:pos="3402"/>
        </w:tabs>
        <w:spacing w:after="120"/>
        <w:ind w:left="2835" w:hanging="567"/>
        <w:rPr>
          <w:rFonts w:ascii="Arial" w:hAnsi="Arial" w:cs="Arial"/>
          <w:color w:val="4472C4" w:themeColor="accent5"/>
        </w:rPr>
      </w:pPr>
      <w:r w:rsidRPr="006430C7">
        <w:rPr>
          <w:rFonts w:ascii="Arial" w:hAnsi="Arial" w:cs="Arial"/>
          <w:color w:val="4472C4" w:themeColor="accent5"/>
        </w:rPr>
        <w:t>G</w:t>
      </w:r>
      <w:r w:rsidRPr="006430C7">
        <w:rPr>
          <w:rFonts w:ascii="Arial" w:hAnsi="Arial" w:cs="Arial"/>
          <w:color w:val="4472C4" w:themeColor="accent5"/>
        </w:rPr>
        <w:tab/>
        <w:t>=</w:t>
      </w:r>
      <w:r w:rsidRPr="006430C7">
        <w:rPr>
          <w:rFonts w:ascii="Arial" w:hAnsi="Arial" w:cs="Arial"/>
          <w:color w:val="4472C4" w:themeColor="accent5"/>
        </w:rPr>
        <w:tab/>
        <w:t>the benchmark flow rate of gas for class A supply points set out in clause 2.1.6 for that DUAFG period;</w:t>
      </w:r>
    </w:p>
    <w:p w14:paraId="151B335A" w14:textId="77777777" w:rsidR="00525C61" w:rsidRPr="006430C7" w:rsidRDefault="00525C61" w:rsidP="00525C61">
      <w:pPr>
        <w:tabs>
          <w:tab w:val="left" w:pos="1080"/>
          <w:tab w:val="left" w:pos="1701"/>
        </w:tabs>
        <w:spacing w:after="120"/>
        <w:ind w:left="2127" w:hanging="851"/>
        <w:rPr>
          <w:rFonts w:ascii="Arial" w:hAnsi="Arial" w:cs="Arial"/>
          <w:color w:val="4472C4" w:themeColor="accent5"/>
        </w:rPr>
      </w:pPr>
      <w:r w:rsidRPr="006430C7">
        <w:rPr>
          <w:rFonts w:ascii="Arial" w:hAnsi="Arial" w:cs="Arial"/>
          <w:color w:val="4472C4" w:themeColor="accent5"/>
        </w:rPr>
        <w:t>B</w:t>
      </w:r>
      <w:r w:rsidRPr="006430C7">
        <w:rPr>
          <w:rFonts w:ascii="Arial" w:hAnsi="Arial" w:cs="Arial"/>
          <w:color w:val="4472C4" w:themeColor="accent5"/>
        </w:rPr>
        <w:tab/>
        <w:t xml:space="preserve"> = </w:t>
      </w:r>
      <w:r w:rsidRPr="006430C7">
        <w:rPr>
          <w:rFonts w:ascii="Arial" w:hAnsi="Arial" w:cs="Arial"/>
          <w:color w:val="4472C4" w:themeColor="accent5"/>
        </w:rPr>
        <w:tab/>
        <w:t>H (1-F)</w:t>
      </w:r>
    </w:p>
    <w:p w14:paraId="4F8DBBD1" w14:textId="77777777" w:rsidR="00525C61" w:rsidRPr="006430C7" w:rsidRDefault="00525C61" w:rsidP="00525C61">
      <w:pPr>
        <w:tabs>
          <w:tab w:val="left" w:pos="1080"/>
          <w:tab w:val="left" w:pos="1701"/>
          <w:tab w:val="left" w:pos="2552"/>
          <w:tab w:val="left" w:pos="3402"/>
        </w:tabs>
        <w:spacing w:after="120"/>
        <w:ind w:left="2835" w:hanging="567"/>
        <w:rPr>
          <w:rFonts w:ascii="Arial" w:hAnsi="Arial" w:cs="Arial"/>
          <w:color w:val="4472C4" w:themeColor="accent5"/>
        </w:rPr>
      </w:pPr>
      <w:r w:rsidRPr="006430C7">
        <w:rPr>
          <w:rFonts w:ascii="Arial" w:hAnsi="Arial" w:cs="Arial"/>
          <w:color w:val="4472C4" w:themeColor="accent5"/>
        </w:rPr>
        <w:t>H</w:t>
      </w:r>
      <w:r w:rsidRPr="006430C7">
        <w:rPr>
          <w:rFonts w:ascii="Arial" w:hAnsi="Arial" w:cs="Arial"/>
          <w:color w:val="4472C4" w:themeColor="accent5"/>
        </w:rPr>
        <w:tab/>
        <w:t>=</w:t>
      </w:r>
      <w:r w:rsidRPr="006430C7">
        <w:rPr>
          <w:rFonts w:ascii="Arial" w:hAnsi="Arial" w:cs="Arial"/>
          <w:color w:val="4472C4" w:themeColor="accent5"/>
        </w:rPr>
        <w:tab/>
        <w:t>the quantity of gas withdrawn by Distributor for Market Participants at all Class B supply points for the DUAFG period;</w:t>
      </w:r>
    </w:p>
    <w:p w14:paraId="0B6B2825" w14:textId="77777777" w:rsidR="00525C61" w:rsidRPr="006430C7" w:rsidRDefault="00525C61" w:rsidP="00525C61">
      <w:pPr>
        <w:tabs>
          <w:tab w:val="left" w:pos="1080"/>
          <w:tab w:val="left" w:pos="1701"/>
          <w:tab w:val="left" w:pos="2552"/>
          <w:tab w:val="left" w:pos="3402"/>
        </w:tabs>
        <w:spacing w:after="120"/>
        <w:ind w:left="2835" w:hanging="567"/>
        <w:rPr>
          <w:rFonts w:ascii="Arial" w:hAnsi="Arial" w:cs="Arial"/>
          <w:color w:val="4472C4" w:themeColor="accent5"/>
        </w:rPr>
      </w:pPr>
      <w:r w:rsidRPr="006430C7">
        <w:rPr>
          <w:rFonts w:ascii="Arial" w:hAnsi="Arial" w:cs="Arial"/>
          <w:color w:val="4472C4" w:themeColor="accent5"/>
        </w:rPr>
        <w:t>F</w:t>
      </w:r>
      <w:r w:rsidRPr="006430C7">
        <w:rPr>
          <w:rFonts w:ascii="Arial" w:hAnsi="Arial" w:cs="Arial"/>
          <w:color w:val="4472C4" w:themeColor="accent5"/>
        </w:rPr>
        <w:tab/>
        <w:t xml:space="preserve"> =</w:t>
      </w:r>
      <w:r w:rsidRPr="006430C7">
        <w:rPr>
          <w:rFonts w:ascii="Arial" w:hAnsi="Arial" w:cs="Arial"/>
          <w:color w:val="4472C4" w:themeColor="accent5"/>
        </w:rPr>
        <w:tab/>
        <w:t>the benchmark flow rate for gas for class B supply points set out in clause 2.1.6 for that DUAFG period.</w:t>
      </w:r>
    </w:p>
    <w:p w14:paraId="28EFBBC1" w14:textId="77777777" w:rsidR="00525C61" w:rsidRPr="00B61311" w:rsidRDefault="00525C61" w:rsidP="00525C61">
      <w:pPr>
        <w:pStyle w:val="BodyText"/>
        <w:tabs>
          <w:tab w:val="left" w:pos="567"/>
          <w:tab w:val="left" w:pos="1134"/>
        </w:tabs>
        <w:ind w:left="1134" w:hanging="1134"/>
        <w:rPr>
          <w:rFonts w:ascii="Arial" w:hAnsi="Arial" w:cs="Arial"/>
        </w:rPr>
      </w:pPr>
    </w:p>
    <w:p w14:paraId="1002AA51" w14:textId="77777777" w:rsidR="00525C61" w:rsidRPr="006430C7" w:rsidRDefault="00525C61" w:rsidP="00525C61">
      <w:pPr>
        <w:pStyle w:val="BodyText"/>
        <w:numPr>
          <w:ilvl w:val="0"/>
          <w:numId w:val="6"/>
        </w:numPr>
        <w:spacing w:before="240" w:after="120"/>
        <w:ind w:hanging="720"/>
        <w:rPr>
          <w:rFonts w:ascii="Arial" w:hAnsi="Arial" w:cs="Arial"/>
          <w:b/>
          <w:sz w:val="22"/>
          <w:szCs w:val="22"/>
        </w:rPr>
      </w:pPr>
      <w:r w:rsidRPr="006430C7">
        <w:rPr>
          <w:rFonts w:ascii="Arial" w:hAnsi="Arial" w:cs="Arial"/>
          <w:b/>
          <w:sz w:val="22"/>
          <w:szCs w:val="22"/>
        </w:rPr>
        <w:t>DUAFG year and DUAFG period</w:t>
      </w:r>
    </w:p>
    <w:p w14:paraId="514C98AD" w14:textId="77777777" w:rsidR="00525C61" w:rsidRPr="006430C7" w:rsidRDefault="00525C61" w:rsidP="00525C61">
      <w:pPr>
        <w:rPr>
          <w:rFonts w:ascii="Arial" w:hAnsi="Arial" w:cs="Arial"/>
          <w:sz w:val="22"/>
          <w:szCs w:val="22"/>
        </w:rPr>
      </w:pPr>
      <w:r w:rsidRPr="00D11670">
        <w:rPr>
          <w:rFonts w:ascii="Arial" w:hAnsi="Arial" w:cs="Arial"/>
          <w:sz w:val="22"/>
          <w:szCs w:val="22"/>
        </w:rPr>
        <w:t xml:space="preserve">Replace “DUAFG year” or “DUAFG Year” </w:t>
      </w:r>
      <w:r w:rsidRPr="006430C7">
        <w:rPr>
          <w:rFonts w:ascii="Arial" w:hAnsi="Arial" w:cs="Arial"/>
          <w:sz w:val="22"/>
          <w:szCs w:val="22"/>
        </w:rPr>
        <w:t>with “</w:t>
      </w:r>
      <w:r w:rsidRPr="006430C7">
        <w:rPr>
          <w:rFonts w:ascii="Arial" w:hAnsi="Arial" w:cs="Arial"/>
          <w:color w:val="4472C4" w:themeColor="accent5"/>
          <w:sz w:val="22"/>
          <w:szCs w:val="22"/>
        </w:rPr>
        <w:t>DUAFG period</w:t>
      </w:r>
      <w:r w:rsidRPr="006430C7">
        <w:rPr>
          <w:rFonts w:ascii="Arial" w:hAnsi="Arial" w:cs="Arial"/>
          <w:sz w:val="22"/>
          <w:szCs w:val="22"/>
        </w:rPr>
        <w:t>” where it appears in the following clauses:</w:t>
      </w:r>
    </w:p>
    <w:p w14:paraId="028A07FB" w14:textId="77777777" w:rsidR="00525C61" w:rsidRPr="006430C7" w:rsidRDefault="00525C61" w:rsidP="00525C61">
      <w:pPr>
        <w:pStyle w:val="ListParagraph"/>
        <w:numPr>
          <w:ilvl w:val="0"/>
          <w:numId w:val="5"/>
        </w:numPr>
        <w:rPr>
          <w:rFonts w:ascii="Arial" w:hAnsi="Arial" w:cs="Arial"/>
          <w:sz w:val="22"/>
          <w:szCs w:val="22"/>
        </w:rPr>
      </w:pPr>
      <w:r w:rsidRPr="006430C7">
        <w:rPr>
          <w:rFonts w:ascii="Arial" w:hAnsi="Arial" w:cs="Arial"/>
          <w:sz w:val="22"/>
          <w:szCs w:val="22"/>
        </w:rPr>
        <w:t>clause 2.1.5 (heading and first paragraph)</w:t>
      </w:r>
    </w:p>
    <w:p w14:paraId="0460E794" w14:textId="77777777" w:rsidR="00525C61" w:rsidRPr="006430C7" w:rsidRDefault="00525C61" w:rsidP="00525C61">
      <w:pPr>
        <w:pStyle w:val="ListParagraph"/>
        <w:numPr>
          <w:ilvl w:val="0"/>
          <w:numId w:val="5"/>
        </w:numPr>
        <w:rPr>
          <w:rFonts w:ascii="Arial" w:hAnsi="Arial" w:cs="Arial"/>
          <w:sz w:val="22"/>
          <w:szCs w:val="22"/>
        </w:rPr>
      </w:pPr>
      <w:r w:rsidRPr="006430C7">
        <w:rPr>
          <w:rFonts w:ascii="Arial" w:hAnsi="Arial" w:cs="Arial"/>
          <w:sz w:val="22"/>
          <w:szCs w:val="22"/>
        </w:rPr>
        <w:t>clause 2.2.3 (heading and first paragraph)</w:t>
      </w:r>
    </w:p>
    <w:p w14:paraId="14A0BF82" w14:textId="77777777" w:rsidR="00525C61" w:rsidRPr="006430C7" w:rsidRDefault="00525C61" w:rsidP="00525C61">
      <w:pPr>
        <w:rPr>
          <w:rFonts w:ascii="Arial" w:hAnsi="Arial" w:cs="Arial"/>
          <w:sz w:val="22"/>
          <w:szCs w:val="22"/>
        </w:rPr>
      </w:pPr>
    </w:p>
    <w:p w14:paraId="75DFA52C" w14:textId="77777777" w:rsidR="00525C61" w:rsidRPr="006430C7" w:rsidRDefault="00525C61" w:rsidP="00525C61">
      <w:pPr>
        <w:rPr>
          <w:rFonts w:ascii="Arial" w:hAnsi="Arial" w:cs="Arial"/>
          <w:sz w:val="22"/>
          <w:szCs w:val="22"/>
        </w:rPr>
      </w:pPr>
      <w:r w:rsidRPr="00D11670">
        <w:rPr>
          <w:rFonts w:ascii="Arial" w:hAnsi="Arial" w:cs="Arial"/>
          <w:sz w:val="22"/>
          <w:szCs w:val="22"/>
        </w:rPr>
        <w:t xml:space="preserve">Replace “DUAFG period” or “DUAFG Period” </w:t>
      </w:r>
      <w:r w:rsidRPr="006430C7">
        <w:rPr>
          <w:rFonts w:ascii="Arial" w:hAnsi="Arial" w:cs="Arial"/>
          <w:sz w:val="22"/>
          <w:szCs w:val="22"/>
        </w:rPr>
        <w:t>with “</w:t>
      </w:r>
      <w:r w:rsidRPr="006430C7">
        <w:rPr>
          <w:rFonts w:ascii="Arial" w:hAnsi="Arial" w:cs="Arial"/>
          <w:color w:val="4472C4" w:themeColor="accent5"/>
          <w:sz w:val="22"/>
          <w:szCs w:val="22"/>
        </w:rPr>
        <w:t>DUAFG year</w:t>
      </w:r>
      <w:r w:rsidRPr="006430C7">
        <w:rPr>
          <w:rFonts w:ascii="Arial" w:hAnsi="Arial" w:cs="Arial"/>
          <w:sz w:val="22"/>
          <w:szCs w:val="22"/>
        </w:rPr>
        <w:t>” where it appears in the following clauses:</w:t>
      </w:r>
    </w:p>
    <w:p w14:paraId="1FD07A77" w14:textId="77777777" w:rsidR="00525C61" w:rsidRPr="006430C7" w:rsidRDefault="00525C61" w:rsidP="00525C61">
      <w:pPr>
        <w:pStyle w:val="ListParagraph"/>
        <w:numPr>
          <w:ilvl w:val="0"/>
          <w:numId w:val="5"/>
        </w:numPr>
        <w:rPr>
          <w:rFonts w:ascii="Arial" w:hAnsi="Arial" w:cs="Arial"/>
          <w:sz w:val="22"/>
          <w:szCs w:val="22"/>
        </w:rPr>
      </w:pPr>
      <w:r w:rsidRPr="006430C7">
        <w:rPr>
          <w:rFonts w:ascii="Arial" w:hAnsi="Arial" w:cs="Arial"/>
          <w:sz w:val="22"/>
          <w:szCs w:val="22"/>
        </w:rPr>
        <w:t>clause 2.1.4</w:t>
      </w:r>
    </w:p>
    <w:p w14:paraId="1BF6F1A3" w14:textId="77777777" w:rsidR="003C2DEA" w:rsidRDefault="003C2DEA" w:rsidP="003C2DEA">
      <w:pPr>
        <w:pStyle w:val="BlockText"/>
        <w:tabs>
          <w:tab w:val="num" w:pos="540"/>
        </w:tabs>
        <w:spacing w:after="240"/>
        <w:ind w:left="540"/>
        <w:jc w:val="left"/>
      </w:pPr>
    </w:p>
    <w:sectPr w:rsidR="003C2DEA" w:rsidSect="007836D5">
      <w:headerReference w:type="defaul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9BDFC" w14:textId="77777777" w:rsidR="00884921" w:rsidRDefault="00884921">
      <w:r>
        <w:separator/>
      </w:r>
    </w:p>
  </w:endnote>
  <w:endnote w:type="continuationSeparator" w:id="0">
    <w:p w14:paraId="76CA3320" w14:textId="77777777" w:rsidR="00884921" w:rsidRDefault="0088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0701B" w14:textId="77777777" w:rsidR="00FC44E6" w:rsidRDefault="00FC44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03131" w14:textId="5C803ABC" w:rsidR="008727F8" w:rsidRPr="00C71BC6" w:rsidRDefault="00FC44E6" w:rsidP="00FC44E6">
    <w:pPr>
      <w:pStyle w:val="Footer"/>
      <w:pBdr>
        <w:top w:val="single" w:sz="4" w:space="1" w:color="auto"/>
      </w:pBdr>
      <w:tabs>
        <w:tab w:val="clear" w:pos="4153"/>
      </w:tabs>
      <w:rPr>
        <w:rFonts w:ascii="Arial" w:hAnsi="Arial" w:cs="Arial"/>
        <w:color w:val="1E4164"/>
        <w:sz w:val="16"/>
        <w:szCs w:val="16"/>
      </w:rPr>
    </w:pPr>
    <w:r>
      <w:rPr>
        <w:rFonts w:ascii="Arial" w:hAnsi="Arial" w:cs="Arial"/>
        <w:color w:val="1E4164"/>
        <w:sz w:val="16"/>
        <w:szCs w:val="16"/>
      </w:rPr>
      <w:t>IIR DWGM 15-003 UAFG Procedure Change</w:t>
    </w:r>
    <w:bookmarkStart w:id="0" w:name="_GoBack"/>
    <w:bookmarkEnd w:id="0"/>
    <w:r w:rsidR="008727F8">
      <w:rPr>
        <w:rFonts w:ascii="Arial" w:hAnsi="Arial" w:cs="Arial"/>
        <w:color w:val="1E4164"/>
        <w:sz w:val="16"/>
        <w:szCs w:val="16"/>
      </w:rPr>
      <w:tab/>
      <w:t xml:space="preserve">Page </w:t>
    </w:r>
    <w:r w:rsidR="008727F8" w:rsidRPr="00C71BC6">
      <w:rPr>
        <w:rStyle w:val="PageNumber"/>
        <w:rFonts w:ascii="Arial" w:hAnsi="Arial" w:cs="Arial"/>
        <w:color w:val="1E4164"/>
        <w:sz w:val="16"/>
        <w:szCs w:val="16"/>
      </w:rPr>
      <w:fldChar w:fldCharType="begin"/>
    </w:r>
    <w:r w:rsidR="008727F8" w:rsidRPr="00C71BC6">
      <w:rPr>
        <w:rStyle w:val="PageNumber"/>
        <w:rFonts w:ascii="Arial" w:hAnsi="Arial" w:cs="Arial"/>
        <w:color w:val="1E4164"/>
        <w:sz w:val="16"/>
        <w:szCs w:val="16"/>
      </w:rPr>
      <w:instrText xml:space="preserve"> PAGE </w:instrText>
    </w:r>
    <w:r w:rsidR="008727F8" w:rsidRPr="00C71BC6">
      <w:rPr>
        <w:rStyle w:val="PageNumber"/>
        <w:rFonts w:ascii="Arial" w:hAnsi="Arial" w:cs="Arial"/>
        <w:color w:val="1E4164"/>
        <w:sz w:val="16"/>
        <w:szCs w:val="16"/>
      </w:rPr>
      <w:fldChar w:fldCharType="separate"/>
    </w:r>
    <w:r>
      <w:rPr>
        <w:rStyle w:val="PageNumber"/>
        <w:rFonts w:ascii="Arial" w:hAnsi="Arial" w:cs="Arial"/>
        <w:noProof/>
        <w:color w:val="1E4164"/>
        <w:sz w:val="16"/>
        <w:szCs w:val="16"/>
      </w:rPr>
      <w:t>1</w:t>
    </w:r>
    <w:r w:rsidR="008727F8" w:rsidRPr="00C71BC6">
      <w:rPr>
        <w:rStyle w:val="PageNumber"/>
        <w:rFonts w:ascii="Arial" w:hAnsi="Arial" w:cs="Arial"/>
        <w:color w:val="1E4164"/>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300E2" w14:textId="77777777" w:rsidR="00FC44E6" w:rsidRDefault="00FC4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3C741" w14:textId="77777777" w:rsidR="00884921" w:rsidRDefault="00884921">
      <w:r>
        <w:separator/>
      </w:r>
    </w:p>
  </w:footnote>
  <w:footnote w:type="continuationSeparator" w:id="0">
    <w:p w14:paraId="5C3FFE40" w14:textId="77777777" w:rsidR="00884921" w:rsidRDefault="00884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790FE" w14:textId="77777777" w:rsidR="00FC44E6" w:rsidRDefault="00FC44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93CB5" w14:textId="77777777" w:rsidR="008727F8" w:rsidRDefault="001961FF">
    <w:pPr>
      <w:pStyle w:val="Header"/>
    </w:pPr>
    <w:r>
      <w:rPr>
        <w:noProof/>
        <w:lang w:eastAsia="en-AU"/>
      </w:rPr>
      <w:drawing>
        <wp:anchor distT="0" distB="0" distL="114300" distR="114300" simplePos="0" relativeHeight="251657728" behindDoc="1" locked="1" layoutInCell="1" allowOverlap="1">
          <wp:simplePos x="0" y="0"/>
          <wp:positionH relativeFrom="page">
            <wp:posOffset>180340</wp:posOffset>
          </wp:positionH>
          <wp:positionV relativeFrom="page">
            <wp:posOffset>180340</wp:posOffset>
          </wp:positionV>
          <wp:extent cx="7200265" cy="1524000"/>
          <wp:effectExtent l="0" t="0" r="635" b="0"/>
          <wp:wrapNone/>
          <wp:docPr id="4" name="Picture 4" descr="report-masthead-marketd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port-masthead-marketd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CDB75" w14:textId="77777777" w:rsidR="00FC44E6" w:rsidRDefault="00FC44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37889" w14:textId="77777777" w:rsidR="008727F8" w:rsidRDefault="00872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F2702"/>
    <w:multiLevelType w:val="hybridMultilevel"/>
    <w:tmpl w:val="4A1A433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B0608"/>
    <w:multiLevelType w:val="hybridMultilevel"/>
    <w:tmpl w:val="36A23D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6CE73CA"/>
    <w:multiLevelType w:val="hybridMultilevel"/>
    <w:tmpl w:val="BED6AA5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DA79BB"/>
    <w:multiLevelType w:val="hybridMultilevel"/>
    <w:tmpl w:val="7D1C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54441A"/>
    <w:multiLevelType w:val="hybridMultilevel"/>
    <w:tmpl w:val="A9D28F0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CE48FF"/>
    <w:multiLevelType w:val="hybridMultilevel"/>
    <w:tmpl w:val="222E8E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480"/>
    <w:rsid w:val="00003FAC"/>
    <w:rsid w:val="000110F2"/>
    <w:rsid w:val="00012D21"/>
    <w:rsid w:val="00014D3F"/>
    <w:rsid w:val="00016C7F"/>
    <w:rsid w:val="00030EE8"/>
    <w:rsid w:val="0003191E"/>
    <w:rsid w:val="00040948"/>
    <w:rsid w:val="00042842"/>
    <w:rsid w:val="000431E3"/>
    <w:rsid w:val="000438A3"/>
    <w:rsid w:val="00044708"/>
    <w:rsid w:val="000448F0"/>
    <w:rsid w:val="000564AA"/>
    <w:rsid w:val="00063834"/>
    <w:rsid w:val="000645C7"/>
    <w:rsid w:val="0006564E"/>
    <w:rsid w:val="000663C1"/>
    <w:rsid w:val="0007264D"/>
    <w:rsid w:val="00084823"/>
    <w:rsid w:val="00091885"/>
    <w:rsid w:val="000A6814"/>
    <w:rsid w:val="000B0E93"/>
    <w:rsid w:val="000B199F"/>
    <w:rsid w:val="000B2C5F"/>
    <w:rsid w:val="000B3BE3"/>
    <w:rsid w:val="000B4462"/>
    <w:rsid w:val="000B661C"/>
    <w:rsid w:val="000B79B5"/>
    <w:rsid w:val="000C02F0"/>
    <w:rsid w:val="000C0B0F"/>
    <w:rsid w:val="000C1E03"/>
    <w:rsid w:val="000C2F2D"/>
    <w:rsid w:val="000C7AF7"/>
    <w:rsid w:val="000D236A"/>
    <w:rsid w:val="000D4583"/>
    <w:rsid w:val="000D622A"/>
    <w:rsid w:val="000E12FC"/>
    <w:rsid w:val="000E2199"/>
    <w:rsid w:val="000E3764"/>
    <w:rsid w:val="000E581D"/>
    <w:rsid w:val="000F0DDB"/>
    <w:rsid w:val="000F1B1C"/>
    <w:rsid w:val="000F2AC3"/>
    <w:rsid w:val="000F2D13"/>
    <w:rsid w:val="001063CC"/>
    <w:rsid w:val="00111A52"/>
    <w:rsid w:val="001202A1"/>
    <w:rsid w:val="00120AAB"/>
    <w:rsid w:val="001243AD"/>
    <w:rsid w:val="001260FA"/>
    <w:rsid w:val="001308D1"/>
    <w:rsid w:val="00133F19"/>
    <w:rsid w:val="00137F69"/>
    <w:rsid w:val="00140EFE"/>
    <w:rsid w:val="001418B8"/>
    <w:rsid w:val="00141C62"/>
    <w:rsid w:val="00143A39"/>
    <w:rsid w:val="00147135"/>
    <w:rsid w:val="00147B9F"/>
    <w:rsid w:val="00150389"/>
    <w:rsid w:val="00151532"/>
    <w:rsid w:val="001535B7"/>
    <w:rsid w:val="00157503"/>
    <w:rsid w:val="00160281"/>
    <w:rsid w:val="00163CEC"/>
    <w:rsid w:val="00164553"/>
    <w:rsid w:val="0016588B"/>
    <w:rsid w:val="00172EC9"/>
    <w:rsid w:val="0017392C"/>
    <w:rsid w:val="00175E67"/>
    <w:rsid w:val="00181ED2"/>
    <w:rsid w:val="0019162E"/>
    <w:rsid w:val="00191FA0"/>
    <w:rsid w:val="001923FE"/>
    <w:rsid w:val="001940BB"/>
    <w:rsid w:val="001961FF"/>
    <w:rsid w:val="001A1FB4"/>
    <w:rsid w:val="001A4851"/>
    <w:rsid w:val="001B118F"/>
    <w:rsid w:val="001B4581"/>
    <w:rsid w:val="001B7FC3"/>
    <w:rsid w:val="001C5113"/>
    <w:rsid w:val="001D0406"/>
    <w:rsid w:val="001E7544"/>
    <w:rsid w:val="001F0E0D"/>
    <w:rsid w:val="001F3D29"/>
    <w:rsid w:val="001F5D5F"/>
    <w:rsid w:val="001F7DDD"/>
    <w:rsid w:val="00203ED5"/>
    <w:rsid w:val="0020427F"/>
    <w:rsid w:val="0021138D"/>
    <w:rsid w:val="002122B2"/>
    <w:rsid w:val="002125D3"/>
    <w:rsid w:val="0021433D"/>
    <w:rsid w:val="00223E1F"/>
    <w:rsid w:val="002304C0"/>
    <w:rsid w:val="00236618"/>
    <w:rsid w:val="00240F28"/>
    <w:rsid w:val="0025522E"/>
    <w:rsid w:val="00265EEA"/>
    <w:rsid w:val="00270876"/>
    <w:rsid w:val="00270AFD"/>
    <w:rsid w:val="00271A6C"/>
    <w:rsid w:val="00272587"/>
    <w:rsid w:val="00281C9E"/>
    <w:rsid w:val="0028734D"/>
    <w:rsid w:val="00291A78"/>
    <w:rsid w:val="00291E73"/>
    <w:rsid w:val="00292000"/>
    <w:rsid w:val="00293620"/>
    <w:rsid w:val="002956EC"/>
    <w:rsid w:val="00297020"/>
    <w:rsid w:val="002A42DF"/>
    <w:rsid w:val="002B5AD6"/>
    <w:rsid w:val="002B5BD4"/>
    <w:rsid w:val="002C12B6"/>
    <w:rsid w:val="002C451B"/>
    <w:rsid w:val="002C4904"/>
    <w:rsid w:val="002C685D"/>
    <w:rsid w:val="002D1DD9"/>
    <w:rsid w:val="002D419A"/>
    <w:rsid w:val="002D4CF7"/>
    <w:rsid w:val="002E1BC3"/>
    <w:rsid w:val="002E7665"/>
    <w:rsid w:val="002F0138"/>
    <w:rsid w:val="002F03DC"/>
    <w:rsid w:val="002F0D9A"/>
    <w:rsid w:val="00300395"/>
    <w:rsid w:val="003013E3"/>
    <w:rsid w:val="0030400B"/>
    <w:rsid w:val="00316B49"/>
    <w:rsid w:val="00317BF2"/>
    <w:rsid w:val="00320C1A"/>
    <w:rsid w:val="003232CE"/>
    <w:rsid w:val="0032509B"/>
    <w:rsid w:val="00335A8E"/>
    <w:rsid w:val="003369FB"/>
    <w:rsid w:val="00336C20"/>
    <w:rsid w:val="00343154"/>
    <w:rsid w:val="00343EB7"/>
    <w:rsid w:val="00346032"/>
    <w:rsid w:val="00355C42"/>
    <w:rsid w:val="00356593"/>
    <w:rsid w:val="00356771"/>
    <w:rsid w:val="00357873"/>
    <w:rsid w:val="00363763"/>
    <w:rsid w:val="00367C5F"/>
    <w:rsid w:val="003708E3"/>
    <w:rsid w:val="00372787"/>
    <w:rsid w:val="00373A98"/>
    <w:rsid w:val="00374BC3"/>
    <w:rsid w:val="0038402B"/>
    <w:rsid w:val="0038641F"/>
    <w:rsid w:val="0038719E"/>
    <w:rsid w:val="0039509D"/>
    <w:rsid w:val="003A18BF"/>
    <w:rsid w:val="003A2118"/>
    <w:rsid w:val="003A3A48"/>
    <w:rsid w:val="003A4079"/>
    <w:rsid w:val="003A582C"/>
    <w:rsid w:val="003A5B8A"/>
    <w:rsid w:val="003B20D6"/>
    <w:rsid w:val="003B322A"/>
    <w:rsid w:val="003B6012"/>
    <w:rsid w:val="003C0B92"/>
    <w:rsid w:val="003C2DEA"/>
    <w:rsid w:val="003C73A9"/>
    <w:rsid w:val="003D24CD"/>
    <w:rsid w:val="003D2974"/>
    <w:rsid w:val="003E0D27"/>
    <w:rsid w:val="003E1C7E"/>
    <w:rsid w:val="003E3966"/>
    <w:rsid w:val="003E7E7C"/>
    <w:rsid w:val="003F19F2"/>
    <w:rsid w:val="003F3E3C"/>
    <w:rsid w:val="00405D9E"/>
    <w:rsid w:val="004131AD"/>
    <w:rsid w:val="004141BD"/>
    <w:rsid w:val="00414E6F"/>
    <w:rsid w:val="00420E2F"/>
    <w:rsid w:val="004212D2"/>
    <w:rsid w:val="00423EEB"/>
    <w:rsid w:val="00424EF7"/>
    <w:rsid w:val="00430380"/>
    <w:rsid w:val="004314D6"/>
    <w:rsid w:val="0043296D"/>
    <w:rsid w:val="00436A1C"/>
    <w:rsid w:val="0044121F"/>
    <w:rsid w:val="0044335A"/>
    <w:rsid w:val="00445685"/>
    <w:rsid w:val="00446E8C"/>
    <w:rsid w:val="0045019D"/>
    <w:rsid w:val="00451480"/>
    <w:rsid w:val="00452BEF"/>
    <w:rsid w:val="00455A78"/>
    <w:rsid w:val="00456F80"/>
    <w:rsid w:val="00457D14"/>
    <w:rsid w:val="00461DBE"/>
    <w:rsid w:val="00462EA9"/>
    <w:rsid w:val="00466649"/>
    <w:rsid w:val="00473AF3"/>
    <w:rsid w:val="00475D3F"/>
    <w:rsid w:val="0048081F"/>
    <w:rsid w:val="004917D3"/>
    <w:rsid w:val="0049200F"/>
    <w:rsid w:val="00493434"/>
    <w:rsid w:val="004A2D13"/>
    <w:rsid w:val="004A4EA4"/>
    <w:rsid w:val="004A593D"/>
    <w:rsid w:val="004A6475"/>
    <w:rsid w:val="004A737E"/>
    <w:rsid w:val="004B76BA"/>
    <w:rsid w:val="004C06CC"/>
    <w:rsid w:val="004C1A8D"/>
    <w:rsid w:val="004C28C1"/>
    <w:rsid w:val="004D29E5"/>
    <w:rsid w:val="004D3F2F"/>
    <w:rsid w:val="004D494C"/>
    <w:rsid w:val="004D4C72"/>
    <w:rsid w:val="004D590F"/>
    <w:rsid w:val="004D6F13"/>
    <w:rsid w:val="004D75C5"/>
    <w:rsid w:val="004E068B"/>
    <w:rsid w:val="004E350D"/>
    <w:rsid w:val="004F2A8A"/>
    <w:rsid w:val="004F357C"/>
    <w:rsid w:val="004F6084"/>
    <w:rsid w:val="005002A6"/>
    <w:rsid w:val="005110B2"/>
    <w:rsid w:val="00512381"/>
    <w:rsid w:val="00517D9F"/>
    <w:rsid w:val="00521442"/>
    <w:rsid w:val="00525A8F"/>
    <w:rsid w:val="00525C61"/>
    <w:rsid w:val="0052720B"/>
    <w:rsid w:val="00534A0D"/>
    <w:rsid w:val="00535B35"/>
    <w:rsid w:val="00536BEB"/>
    <w:rsid w:val="005441FC"/>
    <w:rsid w:val="00544B71"/>
    <w:rsid w:val="005542E8"/>
    <w:rsid w:val="00567167"/>
    <w:rsid w:val="00575DFD"/>
    <w:rsid w:val="00577CC5"/>
    <w:rsid w:val="005806F4"/>
    <w:rsid w:val="00582B4E"/>
    <w:rsid w:val="00582D05"/>
    <w:rsid w:val="00583B52"/>
    <w:rsid w:val="00586B32"/>
    <w:rsid w:val="0059240F"/>
    <w:rsid w:val="00597250"/>
    <w:rsid w:val="005A1E2A"/>
    <w:rsid w:val="005A4D51"/>
    <w:rsid w:val="005A4EFC"/>
    <w:rsid w:val="005A5428"/>
    <w:rsid w:val="005B2130"/>
    <w:rsid w:val="005B544F"/>
    <w:rsid w:val="005C235B"/>
    <w:rsid w:val="005C3636"/>
    <w:rsid w:val="005C38A4"/>
    <w:rsid w:val="005C3A7E"/>
    <w:rsid w:val="005D24F1"/>
    <w:rsid w:val="005D6213"/>
    <w:rsid w:val="005E1773"/>
    <w:rsid w:val="005E35E8"/>
    <w:rsid w:val="005E4748"/>
    <w:rsid w:val="005E5344"/>
    <w:rsid w:val="005F49EC"/>
    <w:rsid w:val="00600422"/>
    <w:rsid w:val="00600B2F"/>
    <w:rsid w:val="0060203D"/>
    <w:rsid w:val="00603127"/>
    <w:rsid w:val="00606B14"/>
    <w:rsid w:val="0061099F"/>
    <w:rsid w:val="00610B26"/>
    <w:rsid w:val="00612594"/>
    <w:rsid w:val="006143B0"/>
    <w:rsid w:val="00620E9C"/>
    <w:rsid w:val="00633ABF"/>
    <w:rsid w:val="006430C7"/>
    <w:rsid w:val="0064388C"/>
    <w:rsid w:val="00644720"/>
    <w:rsid w:val="00652128"/>
    <w:rsid w:val="00653E88"/>
    <w:rsid w:val="006557A5"/>
    <w:rsid w:val="00661065"/>
    <w:rsid w:val="00663146"/>
    <w:rsid w:val="00664B6B"/>
    <w:rsid w:val="00666C38"/>
    <w:rsid w:val="006707E4"/>
    <w:rsid w:val="00671B60"/>
    <w:rsid w:val="0067211D"/>
    <w:rsid w:val="00674315"/>
    <w:rsid w:val="0068038E"/>
    <w:rsid w:val="00682D5F"/>
    <w:rsid w:val="00685805"/>
    <w:rsid w:val="0069186F"/>
    <w:rsid w:val="00693C4F"/>
    <w:rsid w:val="0069669A"/>
    <w:rsid w:val="006A0911"/>
    <w:rsid w:val="006A52BD"/>
    <w:rsid w:val="006A70CE"/>
    <w:rsid w:val="006B566D"/>
    <w:rsid w:val="006B68C4"/>
    <w:rsid w:val="006B77AA"/>
    <w:rsid w:val="006C2242"/>
    <w:rsid w:val="006C41FF"/>
    <w:rsid w:val="006C4554"/>
    <w:rsid w:val="006C61CA"/>
    <w:rsid w:val="006C6C59"/>
    <w:rsid w:val="006D610B"/>
    <w:rsid w:val="006E0B69"/>
    <w:rsid w:val="006E16DA"/>
    <w:rsid w:val="006E3906"/>
    <w:rsid w:val="006E464C"/>
    <w:rsid w:val="006E55D3"/>
    <w:rsid w:val="006E7CF7"/>
    <w:rsid w:val="006F68DA"/>
    <w:rsid w:val="006F6B3C"/>
    <w:rsid w:val="007005A5"/>
    <w:rsid w:val="007021CC"/>
    <w:rsid w:val="0070796C"/>
    <w:rsid w:val="007138A7"/>
    <w:rsid w:val="00717287"/>
    <w:rsid w:val="007179F5"/>
    <w:rsid w:val="00725CAD"/>
    <w:rsid w:val="00725EC7"/>
    <w:rsid w:val="0072626B"/>
    <w:rsid w:val="00727A9F"/>
    <w:rsid w:val="00734265"/>
    <w:rsid w:val="00734277"/>
    <w:rsid w:val="00734AE5"/>
    <w:rsid w:val="007414B5"/>
    <w:rsid w:val="00744FD8"/>
    <w:rsid w:val="00760B1B"/>
    <w:rsid w:val="00766021"/>
    <w:rsid w:val="00773B58"/>
    <w:rsid w:val="007836D5"/>
    <w:rsid w:val="0078482E"/>
    <w:rsid w:val="00784BA6"/>
    <w:rsid w:val="00786927"/>
    <w:rsid w:val="00786DB1"/>
    <w:rsid w:val="00796BF0"/>
    <w:rsid w:val="00797002"/>
    <w:rsid w:val="007A28E9"/>
    <w:rsid w:val="007A5415"/>
    <w:rsid w:val="007B1D71"/>
    <w:rsid w:val="007B363A"/>
    <w:rsid w:val="007B54D5"/>
    <w:rsid w:val="007B5922"/>
    <w:rsid w:val="007B6368"/>
    <w:rsid w:val="007B6EBC"/>
    <w:rsid w:val="007C263A"/>
    <w:rsid w:val="007C440C"/>
    <w:rsid w:val="007C554E"/>
    <w:rsid w:val="007C57E0"/>
    <w:rsid w:val="007C5A40"/>
    <w:rsid w:val="007D0769"/>
    <w:rsid w:val="007D08B1"/>
    <w:rsid w:val="007D26FD"/>
    <w:rsid w:val="007D289B"/>
    <w:rsid w:val="007D2A34"/>
    <w:rsid w:val="007D313B"/>
    <w:rsid w:val="007D5900"/>
    <w:rsid w:val="007D7460"/>
    <w:rsid w:val="007E5E6D"/>
    <w:rsid w:val="007E72FC"/>
    <w:rsid w:val="007F1C9E"/>
    <w:rsid w:val="007F5537"/>
    <w:rsid w:val="007F7D99"/>
    <w:rsid w:val="008056D8"/>
    <w:rsid w:val="008120F9"/>
    <w:rsid w:val="00812B70"/>
    <w:rsid w:val="00814670"/>
    <w:rsid w:val="0081762E"/>
    <w:rsid w:val="0082590D"/>
    <w:rsid w:val="008301E2"/>
    <w:rsid w:val="0083127B"/>
    <w:rsid w:val="00831C44"/>
    <w:rsid w:val="008334BC"/>
    <w:rsid w:val="0083617A"/>
    <w:rsid w:val="008375FC"/>
    <w:rsid w:val="00840905"/>
    <w:rsid w:val="008415BD"/>
    <w:rsid w:val="008433CA"/>
    <w:rsid w:val="00846EDD"/>
    <w:rsid w:val="00847286"/>
    <w:rsid w:val="00851912"/>
    <w:rsid w:val="00851AF6"/>
    <w:rsid w:val="00862209"/>
    <w:rsid w:val="00867F2A"/>
    <w:rsid w:val="008719ED"/>
    <w:rsid w:val="008727F8"/>
    <w:rsid w:val="00874E02"/>
    <w:rsid w:val="0088241D"/>
    <w:rsid w:val="00884921"/>
    <w:rsid w:val="0088503A"/>
    <w:rsid w:val="008962C8"/>
    <w:rsid w:val="008A2C15"/>
    <w:rsid w:val="008A3270"/>
    <w:rsid w:val="008A47FC"/>
    <w:rsid w:val="008B0ABB"/>
    <w:rsid w:val="008B29D6"/>
    <w:rsid w:val="008B4908"/>
    <w:rsid w:val="008C7929"/>
    <w:rsid w:val="008E101A"/>
    <w:rsid w:val="008E58E1"/>
    <w:rsid w:val="008E5B99"/>
    <w:rsid w:val="008F1A48"/>
    <w:rsid w:val="0090219D"/>
    <w:rsid w:val="00904667"/>
    <w:rsid w:val="009105C4"/>
    <w:rsid w:val="009115AB"/>
    <w:rsid w:val="00914A9B"/>
    <w:rsid w:val="00915AFB"/>
    <w:rsid w:val="009173C8"/>
    <w:rsid w:val="00920D01"/>
    <w:rsid w:val="0092278A"/>
    <w:rsid w:val="00923409"/>
    <w:rsid w:val="0092438F"/>
    <w:rsid w:val="00934B27"/>
    <w:rsid w:val="009356F6"/>
    <w:rsid w:val="00940EDC"/>
    <w:rsid w:val="009421F0"/>
    <w:rsid w:val="00945239"/>
    <w:rsid w:val="0094607C"/>
    <w:rsid w:val="00946BFE"/>
    <w:rsid w:val="00947E05"/>
    <w:rsid w:val="00950F94"/>
    <w:rsid w:val="0095431B"/>
    <w:rsid w:val="00962D65"/>
    <w:rsid w:val="00964A46"/>
    <w:rsid w:val="00966754"/>
    <w:rsid w:val="00981968"/>
    <w:rsid w:val="009844A9"/>
    <w:rsid w:val="0098600F"/>
    <w:rsid w:val="00987559"/>
    <w:rsid w:val="009901BB"/>
    <w:rsid w:val="00992800"/>
    <w:rsid w:val="00993C52"/>
    <w:rsid w:val="00997330"/>
    <w:rsid w:val="009A0DCE"/>
    <w:rsid w:val="009A477E"/>
    <w:rsid w:val="009A7616"/>
    <w:rsid w:val="009A7BDD"/>
    <w:rsid w:val="009B11DD"/>
    <w:rsid w:val="009B53C5"/>
    <w:rsid w:val="009C171D"/>
    <w:rsid w:val="009C2F7A"/>
    <w:rsid w:val="009C3791"/>
    <w:rsid w:val="009C406F"/>
    <w:rsid w:val="009D18BF"/>
    <w:rsid w:val="009F117B"/>
    <w:rsid w:val="009F1548"/>
    <w:rsid w:val="00A00180"/>
    <w:rsid w:val="00A02175"/>
    <w:rsid w:val="00A06A5C"/>
    <w:rsid w:val="00A11132"/>
    <w:rsid w:val="00A14B58"/>
    <w:rsid w:val="00A15226"/>
    <w:rsid w:val="00A1575C"/>
    <w:rsid w:val="00A16927"/>
    <w:rsid w:val="00A17E74"/>
    <w:rsid w:val="00A20D9B"/>
    <w:rsid w:val="00A21A19"/>
    <w:rsid w:val="00A231F2"/>
    <w:rsid w:val="00A2407C"/>
    <w:rsid w:val="00A27729"/>
    <w:rsid w:val="00A32649"/>
    <w:rsid w:val="00A353A2"/>
    <w:rsid w:val="00A3560E"/>
    <w:rsid w:val="00A3620B"/>
    <w:rsid w:val="00A37473"/>
    <w:rsid w:val="00A40D5B"/>
    <w:rsid w:val="00A43D6E"/>
    <w:rsid w:val="00A46461"/>
    <w:rsid w:val="00A55D0E"/>
    <w:rsid w:val="00A564D7"/>
    <w:rsid w:val="00A61CE6"/>
    <w:rsid w:val="00A633D8"/>
    <w:rsid w:val="00A6741E"/>
    <w:rsid w:val="00A67B91"/>
    <w:rsid w:val="00A71720"/>
    <w:rsid w:val="00A72D02"/>
    <w:rsid w:val="00A76290"/>
    <w:rsid w:val="00A771F9"/>
    <w:rsid w:val="00A77F8C"/>
    <w:rsid w:val="00A8090F"/>
    <w:rsid w:val="00A81F3E"/>
    <w:rsid w:val="00A82FE8"/>
    <w:rsid w:val="00A86BFF"/>
    <w:rsid w:val="00A90667"/>
    <w:rsid w:val="00A91BA0"/>
    <w:rsid w:val="00A91BE0"/>
    <w:rsid w:val="00A92120"/>
    <w:rsid w:val="00A95C85"/>
    <w:rsid w:val="00AA4A67"/>
    <w:rsid w:val="00AA4E64"/>
    <w:rsid w:val="00AB0683"/>
    <w:rsid w:val="00AB0E6E"/>
    <w:rsid w:val="00AB3E2F"/>
    <w:rsid w:val="00AB3F54"/>
    <w:rsid w:val="00AB4729"/>
    <w:rsid w:val="00AB5A51"/>
    <w:rsid w:val="00AC0393"/>
    <w:rsid w:val="00AC5F3A"/>
    <w:rsid w:val="00AC6A7F"/>
    <w:rsid w:val="00AD1DED"/>
    <w:rsid w:val="00AD3834"/>
    <w:rsid w:val="00AD5618"/>
    <w:rsid w:val="00AD7726"/>
    <w:rsid w:val="00AE2351"/>
    <w:rsid w:val="00AE2BC9"/>
    <w:rsid w:val="00AE5BCF"/>
    <w:rsid w:val="00AF25B8"/>
    <w:rsid w:val="00B06D64"/>
    <w:rsid w:val="00B07890"/>
    <w:rsid w:val="00B164F3"/>
    <w:rsid w:val="00B2199F"/>
    <w:rsid w:val="00B25DD0"/>
    <w:rsid w:val="00B263C1"/>
    <w:rsid w:val="00B30ACC"/>
    <w:rsid w:val="00B3586E"/>
    <w:rsid w:val="00B35E63"/>
    <w:rsid w:val="00B37355"/>
    <w:rsid w:val="00B43691"/>
    <w:rsid w:val="00B43FC0"/>
    <w:rsid w:val="00B468A4"/>
    <w:rsid w:val="00B51787"/>
    <w:rsid w:val="00B6245C"/>
    <w:rsid w:val="00B62C74"/>
    <w:rsid w:val="00B65131"/>
    <w:rsid w:val="00B66B22"/>
    <w:rsid w:val="00B67F5D"/>
    <w:rsid w:val="00B720FD"/>
    <w:rsid w:val="00B7224A"/>
    <w:rsid w:val="00B76F71"/>
    <w:rsid w:val="00B81BA4"/>
    <w:rsid w:val="00B84089"/>
    <w:rsid w:val="00B84FB6"/>
    <w:rsid w:val="00B86B22"/>
    <w:rsid w:val="00B941B9"/>
    <w:rsid w:val="00B95AAA"/>
    <w:rsid w:val="00BA0401"/>
    <w:rsid w:val="00BA3517"/>
    <w:rsid w:val="00BA3DCE"/>
    <w:rsid w:val="00BA4F6E"/>
    <w:rsid w:val="00BA6A22"/>
    <w:rsid w:val="00BA79E4"/>
    <w:rsid w:val="00BB3702"/>
    <w:rsid w:val="00BB3F56"/>
    <w:rsid w:val="00BB620F"/>
    <w:rsid w:val="00BC5F48"/>
    <w:rsid w:val="00BD57B8"/>
    <w:rsid w:val="00BD6C42"/>
    <w:rsid w:val="00BD79F2"/>
    <w:rsid w:val="00BE02D4"/>
    <w:rsid w:val="00BE13FC"/>
    <w:rsid w:val="00BE1869"/>
    <w:rsid w:val="00BE23A0"/>
    <w:rsid w:val="00BE448A"/>
    <w:rsid w:val="00BE7857"/>
    <w:rsid w:val="00BF56A2"/>
    <w:rsid w:val="00C00B51"/>
    <w:rsid w:val="00C01439"/>
    <w:rsid w:val="00C014E7"/>
    <w:rsid w:val="00C022E8"/>
    <w:rsid w:val="00C02400"/>
    <w:rsid w:val="00C11482"/>
    <w:rsid w:val="00C12919"/>
    <w:rsid w:val="00C173F1"/>
    <w:rsid w:val="00C17568"/>
    <w:rsid w:val="00C262E2"/>
    <w:rsid w:val="00C30BDC"/>
    <w:rsid w:val="00C34A50"/>
    <w:rsid w:val="00C35B54"/>
    <w:rsid w:val="00C37933"/>
    <w:rsid w:val="00C40674"/>
    <w:rsid w:val="00C437E1"/>
    <w:rsid w:val="00C450E5"/>
    <w:rsid w:val="00C53149"/>
    <w:rsid w:val="00C56A4F"/>
    <w:rsid w:val="00C60261"/>
    <w:rsid w:val="00C6167D"/>
    <w:rsid w:val="00C634A4"/>
    <w:rsid w:val="00C71BC6"/>
    <w:rsid w:val="00C73282"/>
    <w:rsid w:val="00C75850"/>
    <w:rsid w:val="00C76380"/>
    <w:rsid w:val="00C8204C"/>
    <w:rsid w:val="00C8232A"/>
    <w:rsid w:val="00C83528"/>
    <w:rsid w:val="00C841DE"/>
    <w:rsid w:val="00C879EC"/>
    <w:rsid w:val="00C90373"/>
    <w:rsid w:val="00C93F21"/>
    <w:rsid w:val="00CA029B"/>
    <w:rsid w:val="00CA200E"/>
    <w:rsid w:val="00CA32F5"/>
    <w:rsid w:val="00CA372F"/>
    <w:rsid w:val="00CA3B48"/>
    <w:rsid w:val="00CA4A9D"/>
    <w:rsid w:val="00CA55EA"/>
    <w:rsid w:val="00CA7261"/>
    <w:rsid w:val="00CB00E6"/>
    <w:rsid w:val="00CB5A19"/>
    <w:rsid w:val="00CB6BEA"/>
    <w:rsid w:val="00CC0533"/>
    <w:rsid w:val="00CC2CEA"/>
    <w:rsid w:val="00CC3A19"/>
    <w:rsid w:val="00CC3D6B"/>
    <w:rsid w:val="00CC433A"/>
    <w:rsid w:val="00CC4E27"/>
    <w:rsid w:val="00CC75C4"/>
    <w:rsid w:val="00CC7847"/>
    <w:rsid w:val="00CC7D2D"/>
    <w:rsid w:val="00CD2EAE"/>
    <w:rsid w:val="00CD5A82"/>
    <w:rsid w:val="00CE44EF"/>
    <w:rsid w:val="00CE7A2A"/>
    <w:rsid w:val="00CF0EFE"/>
    <w:rsid w:val="00D03CA6"/>
    <w:rsid w:val="00D06B4A"/>
    <w:rsid w:val="00D113F0"/>
    <w:rsid w:val="00D11670"/>
    <w:rsid w:val="00D16DE4"/>
    <w:rsid w:val="00D21E83"/>
    <w:rsid w:val="00D23C21"/>
    <w:rsid w:val="00D244F6"/>
    <w:rsid w:val="00D24726"/>
    <w:rsid w:val="00D2580D"/>
    <w:rsid w:val="00D26E8E"/>
    <w:rsid w:val="00D31922"/>
    <w:rsid w:val="00D41664"/>
    <w:rsid w:val="00D4458B"/>
    <w:rsid w:val="00D56BA9"/>
    <w:rsid w:val="00D60472"/>
    <w:rsid w:val="00D61290"/>
    <w:rsid w:val="00D61D0B"/>
    <w:rsid w:val="00D61F19"/>
    <w:rsid w:val="00D64EF4"/>
    <w:rsid w:val="00D666FD"/>
    <w:rsid w:val="00D67217"/>
    <w:rsid w:val="00D72421"/>
    <w:rsid w:val="00D734BB"/>
    <w:rsid w:val="00D73E04"/>
    <w:rsid w:val="00D76723"/>
    <w:rsid w:val="00D804FA"/>
    <w:rsid w:val="00D81E9C"/>
    <w:rsid w:val="00D84F32"/>
    <w:rsid w:val="00D95627"/>
    <w:rsid w:val="00D964A3"/>
    <w:rsid w:val="00D97AFC"/>
    <w:rsid w:val="00DA2B94"/>
    <w:rsid w:val="00DA2FDE"/>
    <w:rsid w:val="00DA40E4"/>
    <w:rsid w:val="00DA42E3"/>
    <w:rsid w:val="00DA6A44"/>
    <w:rsid w:val="00DA7024"/>
    <w:rsid w:val="00DC47AA"/>
    <w:rsid w:val="00DC4D64"/>
    <w:rsid w:val="00DC510D"/>
    <w:rsid w:val="00DD259B"/>
    <w:rsid w:val="00DD2615"/>
    <w:rsid w:val="00DD3D40"/>
    <w:rsid w:val="00DD3E74"/>
    <w:rsid w:val="00DD4C0D"/>
    <w:rsid w:val="00DD7597"/>
    <w:rsid w:val="00DE031F"/>
    <w:rsid w:val="00DE2716"/>
    <w:rsid w:val="00DE69F5"/>
    <w:rsid w:val="00DE74E1"/>
    <w:rsid w:val="00DF235E"/>
    <w:rsid w:val="00DF39EF"/>
    <w:rsid w:val="00DF4C29"/>
    <w:rsid w:val="00DF6480"/>
    <w:rsid w:val="00DF7F44"/>
    <w:rsid w:val="00E04EA3"/>
    <w:rsid w:val="00E05C65"/>
    <w:rsid w:val="00E17451"/>
    <w:rsid w:val="00E23DC1"/>
    <w:rsid w:val="00E24C7D"/>
    <w:rsid w:val="00E327D0"/>
    <w:rsid w:val="00E35682"/>
    <w:rsid w:val="00E3761C"/>
    <w:rsid w:val="00E4229D"/>
    <w:rsid w:val="00E43D4B"/>
    <w:rsid w:val="00E44C83"/>
    <w:rsid w:val="00E533C8"/>
    <w:rsid w:val="00E54606"/>
    <w:rsid w:val="00E60EAC"/>
    <w:rsid w:val="00E61AF0"/>
    <w:rsid w:val="00E623AB"/>
    <w:rsid w:val="00E626E4"/>
    <w:rsid w:val="00E62F7E"/>
    <w:rsid w:val="00E63044"/>
    <w:rsid w:val="00E6787B"/>
    <w:rsid w:val="00E702E9"/>
    <w:rsid w:val="00E717C2"/>
    <w:rsid w:val="00E733A3"/>
    <w:rsid w:val="00E81905"/>
    <w:rsid w:val="00E8386E"/>
    <w:rsid w:val="00E8548C"/>
    <w:rsid w:val="00E86F4C"/>
    <w:rsid w:val="00E909BB"/>
    <w:rsid w:val="00E90F15"/>
    <w:rsid w:val="00E91B9A"/>
    <w:rsid w:val="00E93B37"/>
    <w:rsid w:val="00E954E0"/>
    <w:rsid w:val="00E97EE7"/>
    <w:rsid w:val="00EA1B43"/>
    <w:rsid w:val="00EA44F8"/>
    <w:rsid w:val="00EA5EBC"/>
    <w:rsid w:val="00EA68C3"/>
    <w:rsid w:val="00EB16E4"/>
    <w:rsid w:val="00EB2F33"/>
    <w:rsid w:val="00EB499A"/>
    <w:rsid w:val="00EB4FB1"/>
    <w:rsid w:val="00EB78EC"/>
    <w:rsid w:val="00EC370A"/>
    <w:rsid w:val="00EC60DA"/>
    <w:rsid w:val="00EC782D"/>
    <w:rsid w:val="00ED5A56"/>
    <w:rsid w:val="00EE0BBD"/>
    <w:rsid w:val="00EE1A94"/>
    <w:rsid w:val="00EE35EC"/>
    <w:rsid w:val="00F0175A"/>
    <w:rsid w:val="00F023B1"/>
    <w:rsid w:val="00F07A59"/>
    <w:rsid w:val="00F138B9"/>
    <w:rsid w:val="00F13957"/>
    <w:rsid w:val="00F20C59"/>
    <w:rsid w:val="00F217C4"/>
    <w:rsid w:val="00F23A16"/>
    <w:rsid w:val="00F40323"/>
    <w:rsid w:val="00F44A0C"/>
    <w:rsid w:val="00F51391"/>
    <w:rsid w:val="00F51DF2"/>
    <w:rsid w:val="00F530E4"/>
    <w:rsid w:val="00F62521"/>
    <w:rsid w:val="00F63D58"/>
    <w:rsid w:val="00F6586B"/>
    <w:rsid w:val="00F6686E"/>
    <w:rsid w:val="00F72542"/>
    <w:rsid w:val="00F73017"/>
    <w:rsid w:val="00F74613"/>
    <w:rsid w:val="00F77ABC"/>
    <w:rsid w:val="00F82724"/>
    <w:rsid w:val="00F84A40"/>
    <w:rsid w:val="00F92627"/>
    <w:rsid w:val="00F9559A"/>
    <w:rsid w:val="00F9585A"/>
    <w:rsid w:val="00F96687"/>
    <w:rsid w:val="00F96F40"/>
    <w:rsid w:val="00F977C8"/>
    <w:rsid w:val="00FA07C4"/>
    <w:rsid w:val="00FA71F0"/>
    <w:rsid w:val="00FB0508"/>
    <w:rsid w:val="00FB49D2"/>
    <w:rsid w:val="00FC232B"/>
    <w:rsid w:val="00FC44E6"/>
    <w:rsid w:val="00FD35FA"/>
    <w:rsid w:val="00FD5442"/>
    <w:rsid w:val="00FD66E0"/>
    <w:rsid w:val="00FD7F7A"/>
    <w:rsid w:val="00FF7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DC84AAD"/>
  <w15:chartTrackingRefBased/>
  <w15:docId w15:val="{9D1195FE-98BB-4D11-8D97-8262A0EF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5C4"/>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451480"/>
    <w:rPr>
      <w:sz w:val="20"/>
    </w:rPr>
  </w:style>
  <w:style w:type="paragraph" w:styleId="BlockText">
    <w:name w:val="Block Text"/>
    <w:basedOn w:val="Normal"/>
    <w:rsid w:val="00451480"/>
    <w:pPr>
      <w:spacing w:after="120"/>
      <w:jc w:val="both"/>
    </w:pPr>
    <w:rPr>
      <w:rFonts w:ascii="Arial" w:eastAsia="Times New Roman" w:hAnsi="Arial"/>
      <w:sz w:val="20"/>
      <w:lang w:val="en-US"/>
    </w:rPr>
  </w:style>
  <w:style w:type="paragraph" w:styleId="Header">
    <w:name w:val="header"/>
    <w:basedOn w:val="Normal"/>
    <w:rsid w:val="009105C4"/>
    <w:pPr>
      <w:tabs>
        <w:tab w:val="center" w:pos="4153"/>
        <w:tab w:val="right" w:pos="8306"/>
      </w:tabs>
    </w:pPr>
  </w:style>
  <w:style w:type="paragraph" w:styleId="Footer">
    <w:name w:val="footer"/>
    <w:basedOn w:val="Normal"/>
    <w:rsid w:val="009105C4"/>
    <w:pPr>
      <w:tabs>
        <w:tab w:val="center" w:pos="4153"/>
        <w:tab w:val="right" w:pos="8306"/>
      </w:tabs>
    </w:pPr>
  </w:style>
  <w:style w:type="table" w:styleId="TableGrid">
    <w:name w:val="Table Grid"/>
    <w:aliases w:val="AEMO"/>
    <w:basedOn w:val="TableNormal"/>
    <w:rsid w:val="009105C4"/>
    <w:pPr>
      <w:spacing w:line="240" w:lineRule="exact"/>
    </w:pPr>
    <w:rPr>
      <w:rFonts w:ascii="Arial" w:hAnsi="Arial"/>
      <w:color w:val="1E4164"/>
      <w:sz w:val="18"/>
    </w:rPr>
    <w:tblPr>
      <w:tblStyleRowBandSize w:val="1"/>
      <w:tblInd w:w="85" w:type="dxa"/>
      <w:tblBorders>
        <w:insideH w:val="single" w:sz="2" w:space="0" w:color="FFFFFF"/>
        <w:insideV w:val="single" w:sz="2" w:space="0" w:color="FFFFFF"/>
      </w:tblBorders>
      <w:tblCellMar>
        <w:top w:w="57" w:type="dxa"/>
        <w:left w:w="85" w:type="dxa"/>
        <w:bottom w:w="57" w:type="dxa"/>
        <w:right w:w="85" w:type="dxa"/>
      </w:tblCellMar>
    </w:tblPr>
    <w:tcPr>
      <w:shd w:val="clear" w:color="auto" w:fill="E7F4FC"/>
    </w:tcPr>
    <w:tblStylePr w:type="firstRow">
      <w:rPr>
        <w:rFonts w:ascii="Arial" w:hAnsi="Arial"/>
        <w:b w:val="0"/>
        <w:i w:val="0"/>
        <w:caps/>
        <w:smallCaps w:val="0"/>
        <w:color w:val="FFFFFF"/>
        <w:sz w:val="18"/>
      </w:rPr>
      <w:tblPr/>
      <w:tcPr>
        <w:tcBorders>
          <w:top w:val="nil"/>
          <w:left w:val="nil"/>
          <w:bottom w:val="nil"/>
          <w:right w:val="nil"/>
          <w:insideH w:val="nil"/>
          <w:insideV w:val="single" w:sz="2" w:space="0" w:color="FFFFFF"/>
          <w:tl2br w:val="nil"/>
          <w:tr2bl w:val="nil"/>
        </w:tcBorders>
        <w:shd w:val="clear" w:color="auto" w:fill="1E4164"/>
      </w:tcPr>
    </w:tblStylePr>
    <w:tblStylePr w:type="lastRow">
      <w:tblPr/>
      <w:tcPr>
        <w:tcBorders>
          <w:top w:val="nil"/>
          <w:left w:val="nil"/>
          <w:bottom w:val="nil"/>
          <w:right w:val="nil"/>
          <w:insideH w:val="nil"/>
          <w:insideV w:val="nil"/>
          <w:tl2br w:val="nil"/>
          <w:tr2bl w:val="nil"/>
        </w:tcBorders>
        <w:shd w:val="clear" w:color="auto" w:fill="FFFFFF"/>
      </w:tcPr>
    </w:tblStylePr>
    <w:tblStylePr w:type="band1Horz">
      <w:tblPr/>
      <w:tcPr>
        <w:tcBorders>
          <w:top w:val="single" w:sz="2" w:space="0" w:color="FFFFFF"/>
          <w:left w:val="nil"/>
          <w:bottom w:val="single" w:sz="2" w:space="0" w:color="FFFFFF"/>
          <w:right w:val="nil"/>
          <w:insideH w:val="nil"/>
          <w:insideV w:val="single" w:sz="2" w:space="0" w:color="FFFFFF"/>
          <w:tl2br w:val="nil"/>
          <w:tr2bl w:val="nil"/>
        </w:tcBorders>
        <w:shd w:val="clear" w:color="auto" w:fill="E7F4FC"/>
      </w:tcPr>
    </w:tblStylePr>
    <w:tblStylePr w:type="band2Horz">
      <w:rPr>
        <w:color w:val="FFFF00"/>
        <w:sz w:val="24"/>
      </w:rPr>
      <w:tblPr/>
      <w:tcPr>
        <w:tcBorders>
          <w:top w:val="single" w:sz="2" w:space="0" w:color="FFFFFF"/>
          <w:left w:val="nil"/>
          <w:bottom w:val="single" w:sz="2" w:space="0" w:color="FFFFFF"/>
          <w:right w:val="nil"/>
          <w:insideH w:val="nil"/>
          <w:insideV w:val="single" w:sz="2" w:space="0" w:color="FFFFFF"/>
          <w:tl2br w:val="nil"/>
          <w:tr2bl w:val="nil"/>
        </w:tcBorders>
        <w:shd w:val="clear" w:color="auto" w:fill="CEE8F9"/>
      </w:tcPr>
    </w:tblStylePr>
  </w:style>
  <w:style w:type="character" w:styleId="PageNumber">
    <w:name w:val="page number"/>
    <w:basedOn w:val="DefaultParagraphFont"/>
    <w:rsid w:val="00C71BC6"/>
  </w:style>
  <w:style w:type="paragraph" w:styleId="BalloonText">
    <w:name w:val="Balloon Text"/>
    <w:basedOn w:val="Normal"/>
    <w:semiHidden/>
    <w:rsid w:val="00D61D0B"/>
    <w:rPr>
      <w:rFonts w:ascii="Tahoma" w:hAnsi="Tahoma" w:cs="Tahoma"/>
      <w:sz w:val="16"/>
      <w:szCs w:val="16"/>
    </w:rPr>
  </w:style>
  <w:style w:type="character" w:styleId="CommentReference">
    <w:name w:val="annotation reference"/>
    <w:semiHidden/>
    <w:rsid w:val="00D61D0B"/>
    <w:rPr>
      <w:sz w:val="16"/>
      <w:szCs w:val="16"/>
    </w:rPr>
  </w:style>
  <w:style w:type="paragraph" w:styleId="CommentText">
    <w:name w:val="annotation text"/>
    <w:basedOn w:val="Normal"/>
    <w:semiHidden/>
    <w:rsid w:val="00D61D0B"/>
    <w:rPr>
      <w:sz w:val="20"/>
    </w:rPr>
  </w:style>
  <w:style w:type="paragraph" w:styleId="CommentSubject">
    <w:name w:val="annotation subject"/>
    <w:basedOn w:val="CommentText"/>
    <w:next w:val="CommentText"/>
    <w:semiHidden/>
    <w:rsid w:val="00D61D0B"/>
    <w:rPr>
      <w:b/>
      <w:bCs/>
    </w:rPr>
  </w:style>
  <w:style w:type="character" w:styleId="Hyperlink">
    <w:name w:val="Hyperlink"/>
    <w:basedOn w:val="DefaultParagraphFont"/>
    <w:rsid w:val="00AE5BCF"/>
    <w:rPr>
      <w:color w:val="0563C1" w:themeColor="hyperlink"/>
      <w:u w:val="single"/>
    </w:rPr>
  </w:style>
  <w:style w:type="paragraph" w:styleId="ListParagraph">
    <w:name w:val="List Paragraph"/>
    <w:basedOn w:val="Normal"/>
    <w:uiPriority w:val="34"/>
    <w:qFormat/>
    <w:rsid w:val="00525C61"/>
    <w:pPr>
      <w:ind w:left="720"/>
      <w:contextualSpacing/>
    </w:pPr>
    <w:rPr>
      <w:rFonts w:asciiTheme="minorHAnsi" w:eastAsia="Times New Roman" w:hAnsiTheme="minorHAnsi"/>
      <w:sz w:val="20"/>
      <w:lang w:eastAsia="en-AU"/>
    </w:rPr>
  </w:style>
  <w:style w:type="character" w:customStyle="1" w:styleId="StyleLatinArial11ptBoldCustomColorRGB3173125">
    <w:name w:val="Style (Latin) Arial 11 pt Bold Custom Color(RGB(3173125))"/>
    <w:basedOn w:val="DefaultParagraphFont"/>
    <w:rsid w:val="0060203D"/>
    <w:rPr>
      <w:rFonts w:ascii="Arial" w:hAnsi="Arial"/>
      <w:b/>
      <w:bCs/>
      <w:color w:val="1F497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oger.shaw@aemo.com.a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WCF_Correspondence@aemo.com.au"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xmlns="a14523ce-dede-483e-883a-2d83261080bd">
        <DisplayName xmlns="a14523ce-dede-483e-883a-2d83261080bd"/>
        <AccountId xmlns="a14523ce-dede-483e-883a-2d83261080bd" xsi:nil="true"/>
        <AccountType xmlns="a14523ce-dede-483e-883a-2d83261080bd"/>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TermInfo xmlns="http://schemas.microsoft.com/office/infopath/2007/PartnerControls">
          <TermName xmlns="http://schemas.microsoft.com/office/infopath/2007/PartnerControls">Gas</TermName>
          <TermId xmlns="http://schemas.microsoft.com/office/infopath/2007/PartnerControls">6fc634c6-0c58-42d4-a0c5-98b531f188c1</TermId>
        </TermInfo>
        <TermInfo xmlns="http://schemas.microsoft.com/office/infopath/2007/PartnerControls">
          <TermName xmlns="http://schemas.microsoft.com/office/infopath/2007/PartnerControls">Issue</TermName>
          <TermId xmlns="http://schemas.microsoft.com/office/infopath/2007/PartnerControls">cd3053cc-6ae2-4251-8a73-4b2ea22431eb</TermId>
        </TermInfo>
        <TermInfo xmlns="http://schemas.microsoft.com/office/infopath/2007/PartnerControls">
          <TermName xmlns="http://schemas.microsoft.com/office/infopath/2007/PartnerControls">Procedure</TermName>
          <TermId xmlns="http://schemas.microsoft.com/office/infopath/2007/PartnerControls">ef118ab7-893e-4146-9175-7dc8e1e22e38</TermId>
        </TermInfo>
        <TermInfo xmlns="http://schemas.microsoft.com/office/infopath/2007/PartnerControls">
          <TermName xmlns="http://schemas.microsoft.com/office/infopath/2007/PartnerControls">Template</TermName>
          <TermId xmlns="http://schemas.microsoft.com/office/infopath/2007/PartnerControls">785e7638-23d4-44d3-be86-add056926098</TermId>
        </TermInfo>
        <TermInfo xmlns="http://schemas.microsoft.com/office/infopath/2007/PartnerControls">
          <TermName xmlns="http://schemas.microsoft.com/office/infopath/2007/PartnerControls">Impact</TermName>
          <TermId xmlns="http://schemas.microsoft.com/office/infopath/2007/PartnerControls">ff13aee6-9449-4ec4-88cc-4071c2d9a459</TermId>
        </TermInfo>
      </Terms>
    </AEMOKeywordsTaxHTField0>
    <TaxCatchAll xmlns="a14523ce-dede-483e-883a-2d83261080bd">
      <Value xmlns="a14523ce-dede-483e-883a-2d83261080bd">5</Value>
      <Value xmlns="a14523ce-dede-483e-883a-2d83261080bd">48</Value>
      <Value xmlns="a14523ce-dede-483e-883a-2d83261080bd">47</Value>
      <Value xmlns="a14523ce-dede-483e-883a-2d83261080bd">8</Value>
      <Value xmlns="a14523ce-dede-483e-883a-2d83261080bd">25</Value>
      <Value xmlns="a14523ce-dede-483e-883a-2d83261080bd">21</Value>
    </TaxCatchAll>
    <AEMODescription xmlns="a14523ce-dede-483e-883a-2d83261080bd">&lt;div class="ExternalClassC12A8B0FEC464BD99F4C27D27E0C594F"&gt;VenDOCS Doc Type =  FORM. Desc =&lt;/div&gt;</AEMODescription>
    <AEMOMigratedStatus xmlns="a14523ce-dede-483e-883a-2d83261080bd" xsi:nil="true"/>
    <eDocsVersionNumber xmlns="a14523ce-dede-483e-883a-2d83261080bd" xsi:nil="true"/>
    <eDocsEmailDate xmlns="a14523ce-dede-483e-883a-2d83261080bd" xsi:nil="true"/>
    <eDocsSecurity xmlns="a14523ce-dede-483e-883a-2d83261080bd" xsi:nil="true"/>
    <eDocsFolderNumber xmlns="a14523ce-dede-483e-883a-2d83261080bd" xsi:nil="true"/>
    <eDocsRelatedDocument xmlns="a14523ce-dede-483e-883a-2d83261080bd" xsi:nil="true"/>
    <eDocsCategory3 xmlns="a14523ce-dede-483e-883a-2d83261080bd" xsi:nil="true"/>
    <eDocsCategory2 xmlns="a14523ce-dede-483e-883a-2d83261080bd" xsi:nil="true"/>
    <eDocsDocumentID xmlns="a14523ce-dede-483e-883a-2d83261080bd" xsi:nil="true"/>
    <eDocsFolderDetails xmlns="a14523ce-dede-483e-883a-2d83261080bd" xsi:nil="true"/>
    <eDocsHistory xmlns="a14523ce-dede-483e-883a-2d83261080bd" xsi:nil="true"/>
    <eDocsEmailFrom xmlns="a14523ce-dede-483e-883a-2d83261080bd" xsi:nil="true"/>
    <eDocsCategory1 xmlns="a14523ce-dede-483e-883a-2d83261080b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09ac0fb-07cb-4169-8a26-def2760b5502" ContentTypeId="0x0101009BE89D58CAF0934CA32A20BCFFD353DC01" PreviousValue="false"/>
</file>

<file path=customXml/item5.xml><?xml version="1.0" encoding="utf-8"?>
<LongProperties xmlns="http://schemas.microsoft.com/office/2006/metadata/longProperties">
  <LongProp xmlns="" name="eDocsHistory"><![CDATA[10/12/2010-15:21:45 V-4A Document Accessed ZGEMMELL | 10/12/2010-15:21:45 V-4A Checkout Copy Document Hummingbird DM ZGEMMELL | 14/12/2010-10:39:35 V- Mail Reference Hummingbird DM SMONACO | 20/05/2011-17:18:31 V- Mail Reference Hummingbird DM DMCGOWAN | 07/01/2011-12:07:05 V-4A Document Accessed PFERRETTO | 10/05/2010-14:59:11 V-4A Mail Copy Hummingbird DM SMONACO | 12/05/2010-11:55:06 V-4A Copied To Document Hummingbird DM SMONACO | 13/05/2010-22:14:53 V- Edit Document Profile DMCGOWAN | 13/05/2010-22:15:18 V-4A Document Accessed DMCGOWAN | 13/05/2010-22:15:38 V-4A Edit Document DMCGOWAN | 14/05/2010-11:00:44 V-4A Document Accessed DMCGOWAN | 14/05/2010-11:01:02 V-4A Print Document DMCGOWAN | 14/01/2011-16:30:08 V- Mail Reference Hummingbird DM SMONACO | 17/07/2009-13:07:39 V-1 Create Document DMCGOWAN | 17/07/2009-13:07:39 V-  Check Out Document DMCGOWAN | 17/07/2009-13:07:39 V-  Document in File 09/0278/1 DMCGOWAN | 17/07/2009-13:07:39 V-1 Edit Document DMCGOWAN | 17/07/2009-13:09:00 V-1 Edit Document DMCGOWAN | 17/07/2009-14:21:44 V-1 Print Document DMCGOWAN | 17/07/2009-14:28:34 V-1 Edit Document DMCGOWAN | 20/07/2009-10:26:28 V-1 Edit Document DMCGOWAN | 20/07/2009-10:26:55 V-1 Print Document DMCGOWAN | 20/07/2009-10:29:47 V-1 Print Document DMCGOWAN | 20/07/2009-10:36:49 V-1 Edit Document DMCGOWAN | 20/07/2009-11:34:04 V-1 Document Accessed DMCGOWAN | 20/07/2009-11:34:04 V-1 Mail Copy Hummingbird DM DMCGOWAN | 20/07/2009-11:35:17 V-1 Edit Document DMCGOWAN | 20/07/2009-11:35:48 V-1 Document Accessed DMCGOWAN | 20/07/2009-11:35:48 V-1 Mail Copy Hummingbird DM DMCGOWAN | 20/07/2009-14:44:35 V-1 Look At (View) Document Hummingbird DM DMCGOWAN | 20/07/2009-14:45:44 V-2 Create New Version DMCGOWAN | 20/07/2009-14:45:44 V-2 Edit Document DMCGOWAN | 20/07/2009-14:52:37 V-2 Document Accessed DMCGOWAN | 20/07/2009-16:39:08 V-2 Look At (View) Document Hummingbird DM DMCGOWAN | 20/07/2009-16:57:22 V-2 Copied To Document Hummingbird DM DMCGOWAN | 21/07/2009-11:40:11 V-2 Look At (View) Document Hummingbird DM DMCGOWAN | 21/07/2009-11:44:47 V-3 Create New Version DMCGOWAN | 21/07/2009-11:44:47 V-3 Edit Document DMCGOWAN | 21/07/2009-11:56:51 V-3 Edit Document DMCGOWAN | 21/07/2009-11:57:18 V-3 Edit Document DMCGOWAN | 21/07/2009-11:57:35 V-3 Look At (View) Document Hummingbird DM DMCGOWAN | 21/07/2009-11:57:43 V-3 Look At (View) Document Hummingbird DM DMCGOWAN | 21/07/2009-12:10:02 V-3 Look At (View) Document Hummingbird DM DMCGOWAN | 22/07/2009-11:23:43 V-3 Look At (View) Document Hummingbird DM DMCGOWAN | 22/07/2009-12:13:17 V-3 Edit Document DMCGOWAN | 22/07/2009-12:25:24 V-3 Look At (View) Document Hummingbird DM DMCGOWAN | 22/07/2009-12:27:16 V-3 Edit Document DMCGOWAN | 22/07/2009-12:28:08 V-3 Look At (View) Document Hummingbird DM DMCGOWAN | 22/07/2009-13:01:32 V-3 Look At (View) Document Hummingbird DM DMCGOWAN | 22/07/2009-16:59:21 V-3 Edit Document DMCGOWAN | 09/06/2010-16:50:23 V- Mail Reference Hummingbird DM DMCGOWAN | 10/06/2010-13:36:54 V-4A Document Accessed MRILEY | 21/06/2010-14:32:21 V- Mail Reference Hummingbird DM MRILEY | 16/07/2010-10:32:02 V-4A Document Accessed SMONACO | 16/07/2010-10:32:13 V-4A Mail Copy Hummingbird DM SMONACO | 19/07/2010-21:25:32 V-4A Mail Copy Hummingbird DM DMCGOWAN | 28/07/2009-12:05:09 V-3 Look At (View) Document Hummingbird DM DMCGOWAN | 28/07/2009-12:06:51 V-3 Look At (View) Document Hummingbird DM DMCGOWAN | 28/07/2009-12:07:25 V-3 Print Document DMCGOWAN | 28/07/2009-16:22:40 V-3 Look At (View) Document Hummingbird DM DMCGOWAN | 29/07/2009-12:50:47 V-3 Look At (View) Document Hummingbird DM DMCGOWAN | 29/07/2009-12:54:33 V-3 Mail Copy Hummingbird DM DMCGOWAN | 29/07/2009-12:54:59 V-3 Edit Document DMCGOWAN | 29/07/2009-12:58:27 V-3 Mail Copy Hummingbird DM DMCGOWAN | 30/07/2009-12:49:35 V-3 Document Accessed SMONACO | 30/07/2009-12:57:01 V-3 Edit Document SMONACO | 30/07/2009-12:57:59 V-3 Edit Document SMONACO | 30/07/2009-12:59:54 V-3 Edit Document SMONACO | 30/07/2009-17:10:00 V-3 Look At (View) Document Hummingbird DM DMCGOWAN | 30/07/2009-17:10:00 V-3 Document Accessed DMCGOWAN | 30/07/2009-18:06:36 V-3 Document Accessed NSCOTT | 31/07/2009-09:41:37 V-3 Look At (View) Document Hummingbird DM DMCGOWAN | 31/07/2009-09:41:37 V-3 Document Accessed DMCGOWAN | 31/07/2009-09:44:29 V-3 Print Document DMCGOWAN | 31/07/2009-09:44:45 V-3 Print Document DMCGOWAN | 31/07/2009-10:24:06 V-3 Edit Document DMCGOWAN | 31/07/2009-10:24:10 V-3 Look At (View) Document Hummingbird DM DMCGOWAN | 31/07/2009-10:53:59 V-3 Look At (View) Document Hummingbird DM DMCGOWAN | 27/01/2011-12:49:51 V-4A Document Accessed PFERRETTO | 27/01/2011-14:32:28 V-4A Document Accessed SMCKELVIE | 27/01/2011-14:32:58 V-4 Document Accessed SMCKELVIE | 28/01/2011-14:37:39 V-4A Document Accessed ZGEMMELL | 28/01/2011-14:40:31 V-4A Copied To Document Hummingbird DM ZGEMMELL | 02/09/2010-17:10:29 V-4A Print Document DMCGOWAN | 15/09/2010-15:14:55 V-4A Document Accessed SMONACO | 15/09/2010-15:15:19 V-4 Document Accessed SMONACO | 15/09/2010-16:22:39 V-4A Document Accessed MWEERACKOON | 09/02/2011-13:00:14 V-4A Document Accessed TSHERIDAN | 09/02/2011-13:03:39 V-4A Copied To Document Hummingbird DM TSHERIDAN | 15/02/2011-13:48:35 V-4A Document Accessed ZGEMMELL | 15/02/2011-13:56:13 V-4A Copied To Document Hummingbird DM ZGEMMELL | 21/08/2009-16:37:20 V-3 Document Accessed CDIEP | 24/08/2009-11:41:40 V-3 Document Accessed CDIEP | 24/08/2009-12:22:57 V-3 Document Accessed CDIEP | 25/08/2009-12:03:19 V-3 Document Accessed PFERRETTO | 25/08/2009-14:51:46 V-3 Document Accessed CDIEP | 25/08/2009-14:52:07 V-3 Print Document CDIEP | 28/08/2009-17:01:06 V-3 Mail Copy Hummingbird DM DMCGOWAN | 31/08/2009-15:45:49 V-3 Look At (View) Document Hummingbird DM DMCGOWAN | 31/08/2009-15:48:20 V-3 Copied To Document Hummingbird DM DMCGOWAN | 01/09/2009-15:16:23 V-3 Look At (View) Document Hummingbird DM DMCGOWAN | 02/09/2009-15:47:04 V-3 Look At (View) Document Hummingbird DM DMCGOWAN | 02/09/2009-15:48:11 V-4 Create New Version DMCGOWAN | 02/09/2009-15:48:12 V-4 Edit Document DMCGOWAN | 02/09/2009-16:03:58 V-4 Look At (View) Document Hummingbird DM DMCGOWAN | 09/09/2009-15:36:54 V-4 Look At (View) Document Hummingbird DM DMCGOWAN | 14/09/2009-17:11:12 V-4 Look At (View) Document Hummingbird DM PKURIAN | 14/09/2009-17:11:12 V-4 Document Accessed PKURIAN | 23/09/2009-12:08:27 V-4 Look At (View) Document Hummingbird DM DMCGOWAN | 10/03/2011-15:14:42 V-4A Document Accessed ZGEMMELL | 26/10/2010-09:23:34 V-4A Document Accessed LMAYO | 25/03/2011-11:07:56 V-4A Document Accessed ZGEMMELL | 25/03/2011-11:10:34 V-4A Copied To Document Hummingbird DM ZGEMMELL | 31/03/2011-11:08:55 V-4A Copied To Document Hummingbird DM ZGEMMELL | 25/11/2009-10:35:20 V-4 Document Accessed ZGEMMELL | 25/11/2009-10:39:25 V-4 Copied To Document Hummingbird DM ZGEMMELL | 26/11/2009-15:59:14 V-4 Document Accessed SMONACO | 26/11/2009-16:01:40 V-4A Create New Version SMONACO | 26/11/2009-16:01:41 V-4A Edit Document SMONACO | 26/11/2009-16:02:02 V- Mail Reference Hummingbird DM SMONACO | 26/11/2009-16:57:50 V-4A Document Accessed PALBERTS | 02/12/2010-16:58:44 V-4A Copied To Document Hummingbird DM SMONACO | 25/02/2010-14:28:00 V-4A Document Accessed DMCGOWAN | 25/02/2010-14:30:44 V-4A Copied To Document Hummingbird DM DMCGOWAN | 01/03/2010-13:26:26 V-4A Mail Copy Hummingbird DM SMONAC]]></LongProp>
  <LongProp xmlns="" name="TaxCatchAll"><![CDATA[5;#Operational Record|859762f2-4462-42eb-9744-c955c7e2c540;#48;#Impact|ff13aee6-9449-4ec4-88cc-4071c2d9a459;#47;#Issue|cd3053cc-6ae2-4251-8a73-4b2ea22431eb;#8;#Gas|6fc634c6-0c58-42d4-a0c5-98b531f188c1;#25;#Procedure|ef118ab7-893e-4146-9175-7dc8e1e22e38;#21;#Template|785e7638-23d4-44d3-be86-add056926098]]></LongProp>
</LongProperties>
</file>

<file path=customXml/item6.xml><?xml version="1.0" encoding="utf-8"?>
<ct:contentTypeSchema xmlns:ct="http://schemas.microsoft.com/office/2006/metadata/contentType" xmlns:ma="http://schemas.microsoft.com/office/2006/metadata/properties/metaAttributes" ct:_="" ma:_="" ma:contentTypeName="AEMOMigratedDocument" ma:contentTypeID="0x0101009BE89D58CAF0934CA32A20BCFFD353DC0100EF6F498FD1D50248B38E8A081F436457" ma:contentTypeVersion="35" ma:contentTypeDescription="" ma:contentTypeScope="" ma:versionID="326083cb76b2bd8c85c5ebfd821a6241">
  <xsd:schema xmlns:xsd="http://www.w3.org/2001/XMLSchema" xmlns:xs="http://www.w3.org/2001/XMLSchema" xmlns:p="http://schemas.microsoft.com/office/2006/metadata/properties" xmlns:ns2="a14523ce-dede-483e-883a-2d83261080bd" targetNamespace="http://schemas.microsoft.com/office/2006/metadata/properties" ma:root="true" ma:fieldsID="4b606ef7527b710aecaeefa48d128562"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element ref="ns2:eDocsVersionNumber" minOccurs="0"/>
                <xsd:element ref="ns2:eDocsRelatedDocument" minOccurs="0"/>
                <xsd:element ref="ns2:eDocsCategory1" minOccurs="0"/>
                <xsd:element ref="ns2:eDocsCategory2" minOccurs="0"/>
                <xsd:element ref="ns2:eDocsCategory3" minOccurs="0"/>
                <xsd:element ref="ns2:AEMOMigratedStatus" minOccurs="0"/>
                <xsd:element ref="ns2:eDocsEmailDate" minOccurs="0"/>
                <xsd:element ref="ns2:eDocsSecurity" minOccurs="0"/>
                <xsd:element ref="ns2:eDocsHistory" minOccurs="0"/>
                <xsd:element ref="ns2:eDocsDocumentID" minOccurs="0"/>
                <xsd:element ref="ns2:eDocsEmailFrom" minOccurs="0"/>
                <xsd:element ref="ns2:eDocsFolderDetails" minOccurs="0"/>
                <xsd:element ref="ns2:eDocsFol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ec3a289c-a1b0-4779-9682-ab15160385b6}" ma:internalName="TaxCatchAll" ma:showField="CatchAllData" ma:web="a037c4b9-c17b-4356-82ca-dc45e5c28df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c3a289c-a1b0-4779-9682-ab15160385b6}" ma:internalName="TaxCatchAllLabel" ma:readOnly="true" ma:showField="CatchAllDataLabel" ma:web="a037c4b9-c17b-4356-82ca-dc45e5c28df1">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2;#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element name="eDocsVersionNumber" ma:index="20" nillable="true" ma:displayName="eDocsVersionNumber" ma:internalName="eDocsVersionNumber">
      <xsd:simpleType>
        <xsd:restriction base="dms:Text">
          <xsd:maxLength value="255"/>
        </xsd:restriction>
      </xsd:simpleType>
    </xsd:element>
    <xsd:element name="eDocsRelatedDocument" ma:index="21" nillable="true" ma:displayName="eDocsRelatedDocument" ma:internalName="eDocsRelatedDocument" ma:readOnly="false">
      <xsd:simpleType>
        <xsd:restriction base="dms:Note"/>
      </xsd:simpleType>
    </xsd:element>
    <xsd:element name="eDocsCategory1" ma:index="22" nillable="true" ma:displayName="eDocsCategory1" ma:internalName="eDocsCategory1">
      <xsd:simpleType>
        <xsd:restriction base="dms:Text">
          <xsd:maxLength value="255"/>
        </xsd:restriction>
      </xsd:simpleType>
    </xsd:element>
    <xsd:element name="eDocsCategory2" ma:index="23" nillable="true" ma:displayName="eDocsCategory2" ma:internalName="eDocsCategory2">
      <xsd:simpleType>
        <xsd:restriction base="dms:Text">
          <xsd:maxLength value="255"/>
        </xsd:restriction>
      </xsd:simpleType>
    </xsd:element>
    <xsd:element name="eDocsCategory3" ma:index="24" nillable="true" ma:displayName="eDocsCategory3" ma:internalName="eDocsCategory3">
      <xsd:simpleType>
        <xsd:restriction base="dms:Text">
          <xsd:maxLength value="255"/>
        </xsd:restriction>
      </xsd:simpleType>
    </xsd:element>
    <xsd:element name="AEMOMigratedStatus" ma:index="25" nillable="true" ma:displayName="AEMOMigratedStatus" ma:internalName="AEMOMigratedStatus">
      <xsd:simpleType>
        <xsd:restriction base="dms:Text">
          <xsd:maxLength value="255"/>
        </xsd:restriction>
      </xsd:simpleType>
    </xsd:element>
    <xsd:element name="eDocsEmailDate" ma:index="26" nillable="true" ma:displayName="eDocsEmailDate" ma:internalName="eDocsEmailDate">
      <xsd:simpleType>
        <xsd:restriction base="dms:Text">
          <xsd:maxLength value="255"/>
        </xsd:restriction>
      </xsd:simpleType>
    </xsd:element>
    <xsd:element name="eDocsSecurity" ma:index="27" nillable="true" ma:displayName="eDocsSecurity" ma:internalName="eDocsSecurity" ma:readOnly="false">
      <xsd:simpleType>
        <xsd:restriction base="dms:Note"/>
      </xsd:simpleType>
    </xsd:element>
    <xsd:element name="eDocsHistory" ma:index="28" nillable="true" ma:displayName="eDocsHistory" ma:internalName="eDocsHistory" ma:readOnly="false">
      <xsd:simpleType>
        <xsd:restriction base="dms:Note"/>
      </xsd:simpleType>
    </xsd:element>
    <xsd:element name="eDocsDocumentID" ma:index="29" nillable="true" ma:displayName="eDocsDocumentID" ma:internalName="eDocsDocumentID">
      <xsd:simpleType>
        <xsd:restriction base="dms:Text">
          <xsd:maxLength value="255"/>
        </xsd:restriction>
      </xsd:simpleType>
    </xsd:element>
    <xsd:element name="eDocsEmailFrom" ma:index="30" nillable="true" ma:displayName="eDocsEmailFrom" ma:internalName="eDocsEmailFrom">
      <xsd:simpleType>
        <xsd:restriction base="dms:Text">
          <xsd:maxLength value="255"/>
        </xsd:restriction>
      </xsd:simpleType>
    </xsd:element>
    <xsd:element name="eDocsFolderDetails" ma:index="31" nillable="true" ma:displayName="eDocsFolderDetails" ma:internalName="eDocsFolderDetails">
      <xsd:simpleType>
        <xsd:restriction base="dms:Note">
          <xsd:maxLength value="255"/>
        </xsd:restriction>
      </xsd:simpleType>
    </xsd:element>
    <xsd:element name="eDocsFolderNumber" ma:index="32" nillable="true" ma:displayName="eDocsFolderNumber" ma:internalName="eDocsFolder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/sites/snp/p</xsnScope>
</customXsn>
</file>

<file path=customXml/itemProps1.xml><?xml version="1.0" encoding="utf-8"?>
<ds:datastoreItem xmlns:ds="http://schemas.openxmlformats.org/officeDocument/2006/customXml" ds:itemID="{2C884BB4-E0A9-49F3-983B-11EAC2097175}">
  <ds:schemaRefs>
    <ds:schemaRef ds:uri="http://schemas.microsoft.com/sharepoint/v3/contenttype/forms"/>
  </ds:schemaRefs>
</ds:datastoreItem>
</file>

<file path=customXml/itemProps2.xml><?xml version="1.0" encoding="utf-8"?>
<ds:datastoreItem xmlns:ds="http://schemas.openxmlformats.org/officeDocument/2006/customXml" ds:itemID="{5A346C6A-5B83-4C64-8089-D0649BBBD576}">
  <ds:schemaRefs>
    <ds:schemaRef ds:uri="http://purl.org/dc/terms/"/>
    <ds:schemaRef ds:uri="http://schemas.microsoft.com/office/2006/documentManagement/types"/>
    <ds:schemaRef ds:uri="a14523ce-dede-483e-883a-2d83261080bd"/>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9E4BD4CC-CDA0-441E-B22A-EC6AA59BAD6B}">
  <ds:schemaRefs>
    <ds:schemaRef ds:uri="http://schemas.microsoft.com/sharepoint/events"/>
  </ds:schemaRefs>
</ds:datastoreItem>
</file>

<file path=customXml/itemProps4.xml><?xml version="1.0" encoding="utf-8"?>
<ds:datastoreItem xmlns:ds="http://schemas.openxmlformats.org/officeDocument/2006/customXml" ds:itemID="{632BA4EA-4CBF-4F77-9C07-59CABA6EFB94}">
  <ds:schemaRefs>
    <ds:schemaRef ds:uri="Microsoft.SharePoint.Taxonomy.ContentTypeSync"/>
  </ds:schemaRefs>
</ds:datastoreItem>
</file>

<file path=customXml/itemProps5.xml><?xml version="1.0" encoding="utf-8"?>
<ds:datastoreItem xmlns:ds="http://schemas.openxmlformats.org/officeDocument/2006/customXml" ds:itemID="{F42FBB19-F9CB-4C09-8E02-07AFEC9E0D53}">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E5299F8B-0E4F-4A9B-AD60-BC98EC716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4897895-5032-47F5-A2C6-72A22E6D4EE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BE0900A6</Template>
  <TotalTime>127</TotalTime>
  <Pages>7</Pages>
  <Words>1589</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Impact &amp; Implementation Report (IIR) Template</vt:lpstr>
    </vt:vector>
  </TitlesOfParts>
  <Company>VENCorp</Company>
  <LinksUpToDate>false</LinksUpToDate>
  <CharactersWithSpaces>10463</CharactersWithSpaces>
  <SharedDoc>false</SharedDoc>
  <HLinks>
    <vt:vector size="12" baseType="variant">
      <vt:variant>
        <vt:i4>3276818</vt:i4>
      </vt:variant>
      <vt:variant>
        <vt:i4>3</vt:i4>
      </vt:variant>
      <vt:variant>
        <vt:i4>0</vt:i4>
      </vt:variant>
      <vt:variant>
        <vt:i4>5</vt:i4>
      </vt:variant>
      <vt:variant>
        <vt:lpwstr>mailto:Roger.shaw@aemo.com.au</vt:lpwstr>
      </vt:variant>
      <vt:variant>
        <vt:lpwstr/>
      </vt:variant>
      <vt:variant>
        <vt:i4>4259858</vt:i4>
      </vt:variant>
      <vt:variant>
        <vt:i4>0</vt:i4>
      </vt:variant>
      <vt:variant>
        <vt:i4>0</vt:i4>
      </vt:variant>
      <vt:variant>
        <vt:i4>5</vt:i4>
      </vt:variant>
      <vt:variant>
        <vt:lpwstr>mailto:GWCF_Correspondence@aemo.com.au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&amp; Implementation Report (IIR) Template</dc:title>
  <dc:subject/>
  <dc:creator>DMCGOWAN</dc:creator>
  <cp:keywords/>
  <dc:description/>
  <cp:lastModifiedBy>Roger Shaw</cp:lastModifiedBy>
  <cp:revision>13</cp:revision>
  <cp:lastPrinted>2015-05-27T05:47:00Z</cp:lastPrinted>
  <dcterms:created xsi:type="dcterms:W3CDTF">2015-09-24T01:18:00Z</dcterms:created>
  <dcterms:modified xsi:type="dcterms:W3CDTF">2015-09-29T05:38:00Z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EMODocumentType">
    <vt:lpwstr>5;#Operational Record|859762f2-4462-42eb-9744-c955c7e2c540</vt:lpwstr>
  </property>
  <property fmtid="{D5CDD505-2E9C-101B-9397-08002B2CF9AE}" pid="3" name="eDocsDocumentID">
    <vt:lpwstr>282826</vt:lpwstr>
  </property>
  <property fmtid="{D5CDD505-2E9C-101B-9397-08002B2CF9AE}" pid="4" name="eDocsFolderNumber">
    <vt:lpwstr>09/0278/1</vt:lpwstr>
  </property>
  <property fmtid="{D5CDD505-2E9C-101B-9397-08002B2CF9AE}" pid="5" name="eDocsFolderDetails">
    <vt:lpwstr>Energy Market Management / Regulatory - Gas / Grouped - Procedure Change Management Change Management Templates</vt:lpwstr>
  </property>
  <property fmtid="{D5CDD505-2E9C-101B-9397-08002B2CF9AE}" pid="6" name="eDocsEmailDate">
    <vt:lpwstr/>
  </property>
  <property fmtid="{D5CDD505-2E9C-101B-9397-08002B2CF9AE}" pid="7" name="eDocsSecurity">
    <vt:lpwstr>U DMCGOWAN 255 | G DOCS_USERS 45 | G MARKET DVPLMT REG 255 | G MARKET DEV 63</vt:lpwstr>
  </property>
  <property fmtid="{D5CDD505-2E9C-101B-9397-08002B2CF9AE}" pid="8" name="eDocsHistory">
    <vt:lpwstr>10/12/2010-15:21:45 V-4A Document Accessed ZGEMMELL | 10/12/2010-15:21:45 V-4A Checkout Copy Document Hummingbird DM ZGEMMELL | 14/12/2010-10:39:35 V- Mail Reference Hummingbird DM SMONACO | 20/05/2011-17:18:31 V- Mail Reference Hummingbird DM DMCGOWAN | </vt:lpwstr>
  </property>
  <property fmtid="{D5CDD505-2E9C-101B-9397-08002B2CF9AE}" pid="9" name="eDocsEmailFrom">
    <vt:lpwstr/>
  </property>
  <property fmtid="{D5CDD505-2E9C-101B-9397-08002B2CF9AE}" pid="10" name="ContentType">
    <vt:lpwstr>AEMOMigratedDocument</vt:lpwstr>
  </property>
  <property fmtid="{D5CDD505-2E9C-101B-9397-08002B2CF9AE}" pid="11" name="ContentTypeId">
    <vt:lpwstr>0x0101009BE89D58CAF0934CA32A20BCFFD353DC0100EB8351AA9D2F0048AD890BA0569FDF1B</vt:lpwstr>
  </property>
  <property fmtid="{D5CDD505-2E9C-101B-9397-08002B2CF9AE}" pid="12" name="display_urn:schemas-microsoft-com:office:office#Editor">
    <vt:lpwstr>Danny McGowan</vt:lpwstr>
  </property>
  <property fmtid="{D5CDD505-2E9C-101B-9397-08002B2CF9AE}" pid="13" name="Author">
    <vt:lpwstr>157</vt:lpwstr>
  </property>
  <property fmtid="{D5CDD505-2E9C-101B-9397-08002B2CF9AE}" pid="14" name="eDocsCategory2">
    <vt:lpwstr/>
  </property>
  <property fmtid="{D5CDD505-2E9C-101B-9397-08002B2CF9AE}" pid="15" name="TemplateUrl">
    <vt:lpwstr/>
  </property>
  <property fmtid="{D5CDD505-2E9C-101B-9397-08002B2CF9AE}" pid="16" name="eDocsRelatedDocument">
    <vt:lpwstr/>
  </property>
  <property fmtid="{D5CDD505-2E9C-101B-9397-08002B2CF9AE}" pid="17" name="AEMOMigratedStatus">
    <vt:lpwstr/>
  </property>
  <property fmtid="{D5CDD505-2E9C-101B-9397-08002B2CF9AE}" pid="18" name="Modified">
    <vt:lpwstr>1970-01-01T11:00:00Z</vt:lpwstr>
  </property>
  <property fmtid="{D5CDD505-2E9C-101B-9397-08002B2CF9AE}" pid="19" name="AEMOKeywords">
    <vt:lpwstr>8;#Gas|6fc634c6-0c58-42d4-a0c5-98b531f188c1;#47;#Issue|cd3053cc-6ae2-4251-8a73-4b2ea22431eb;#25;#Procedure|ef118ab7-893e-4146-9175-7dc8e1e22e38;#21;#Template|785e7638-23d4-44d3-be86-add056926098;#48;#Impact|ff13aee6-9449-4ec4-88cc-4071c2d9a459</vt:lpwstr>
  </property>
  <property fmtid="{D5CDD505-2E9C-101B-9397-08002B2CF9AE}" pid="20" name="eDocsCategory1">
    <vt:lpwstr/>
  </property>
  <property fmtid="{D5CDD505-2E9C-101B-9397-08002B2CF9AE}" pid="21" name="_dlc_DocId">
    <vt:lpwstr>MARKETOPPERF-15-934</vt:lpwstr>
  </property>
  <property fmtid="{D5CDD505-2E9C-101B-9397-08002B2CF9AE}" pid="22" name="Editor">
    <vt:lpwstr>303</vt:lpwstr>
  </property>
  <property fmtid="{D5CDD505-2E9C-101B-9397-08002B2CF9AE}" pid="23" name="_dlc_DocIdItemGuid">
    <vt:lpwstr>f4717a33-dbce-4f79-b4e6-c35b61ae3865</vt:lpwstr>
  </property>
  <property fmtid="{D5CDD505-2E9C-101B-9397-08002B2CF9AE}" pid="24" name="_dlc_DocIdUrl">
    <vt:lpwstr>http://sharedocs/sites/mop/_layouts/15/DocIdRedir.aspx?ID=MARKETOPPERF-15-934, MARKETOPPERF-15-934</vt:lpwstr>
  </property>
  <property fmtid="{D5CDD505-2E9C-101B-9397-08002B2CF9AE}" pid="25" name="eDocsVersionNumber">
    <vt:lpwstr/>
  </property>
  <property fmtid="{D5CDD505-2E9C-101B-9397-08002B2CF9AE}" pid="26" name="eDocsCategory3">
    <vt:lpwstr/>
  </property>
  <property fmtid="{D5CDD505-2E9C-101B-9397-08002B2CF9AE}" pid="27" name="xd_Signature">
    <vt:lpwstr/>
  </property>
  <property fmtid="{D5CDD505-2E9C-101B-9397-08002B2CF9AE}" pid="28" name="Created">
    <vt:lpwstr>1970-01-01T11:00:00Z</vt:lpwstr>
  </property>
  <property fmtid="{D5CDD505-2E9C-101B-9397-08002B2CF9AE}" pid="29" name="xd_ProgID">
    <vt:lpwstr/>
  </property>
  <property fmtid="{D5CDD505-2E9C-101B-9397-08002B2CF9AE}" pid="30" name="_dlc_DocIdPersistId">
    <vt:lpwstr/>
  </property>
</Properties>
</file>