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C5" w:rsidRPr="00B226E9" w:rsidRDefault="00595C0B" w:rsidP="00B226E9">
      <w:pPr>
        <w:spacing w:after="0"/>
        <w:jc w:val="both"/>
        <w:rPr>
          <w:rFonts w:ascii="Arial" w:hAnsi="Arial" w:cs="Arial"/>
        </w:rPr>
      </w:pPr>
      <w:r w:rsidRPr="00B226E9">
        <w:rPr>
          <w:rFonts w:ascii="Arial" w:hAnsi="Arial" w:cs="Arial"/>
        </w:rPr>
        <w:t>2</w:t>
      </w:r>
      <w:r w:rsidR="00F666B3">
        <w:rPr>
          <w:rFonts w:ascii="Arial" w:hAnsi="Arial" w:cs="Arial"/>
        </w:rPr>
        <w:t>2</w:t>
      </w:r>
      <w:bookmarkStart w:id="0" w:name="_GoBack"/>
      <w:bookmarkEnd w:id="0"/>
      <w:r w:rsidRPr="00B226E9">
        <w:rPr>
          <w:rFonts w:ascii="Arial" w:hAnsi="Arial" w:cs="Arial"/>
        </w:rPr>
        <w:t xml:space="preserve"> December</w:t>
      </w:r>
      <w:r w:rsidR="005C63E8" w:rsidRPr="00B226E9">
        <w:rPr>
          <w:rFonts w:ascii="Arial" w:hAnsi="Arial" w:cs="Arial"/>
        </w:rPr>
        <w:t xml:space="preserve"> </w:t>
      </w:r>
      <w:r w:rsidR="001E0D5A" w:rsidRPr="00B226E9">
        <w:rPr>
          <w:rFonts w:ascii="Arial" w:hAnsi="Arial" w:cs="Arial"/>
        </w:rPr>
        <w:t>201</w:t>
      </w:r>
      <w:r w:rsidR="00460CF5" w:rsidRPr="00B226E9">
        <w:rPr>
          <w:rFonts w:ascii="Arial" w:hAnsi="Arial" w:cs="Arial"/>
        </w:rPr>
        <w:t>6</w:t>
      </w:r>
    </w:p>
    <w:p w:rsidR="001E0D5A" w:rsidRPr="00B226E9" w:rsidRDefault="001E0D5A" w:rsidP="00B226E9">
      <w:pPr>
        <w:spacing w:after="0"/>
        <w:jc w:val="both"/>
        <w:rPr>
          <w:rFonts w:ascii="Arial" w:hAnsi="Arial" w:cs="Arial"/>
        </w:rPr>
      </w:pPr>
    </w:p>
    <w:p w:rsidR="00AA2AC9" w:rsidRPr="00B226E9" w:rsidRDefault="00AA2AC9" w:rsidP="00B226E9">
      <w:pPr>
        <w:spacing w:after="0"/>
        <w:jc w:val="both"/>
        <w:rPr>
          <w:rFonts w:ascii="Arial" w:hAnsi="Arial" w:cs="Arial"/>
        </w:rPr>
      </w:pPr>
    </w:p>
    <w:p w:rsidR="001B0531" w:rsidRPr="00B226E9" w:rsidRDefault="001B0531" w:rsidP="00B226E9">
      <w:pPr>
        <w:spacing w:after="0" w:line="240" w:lineRule="auto"/>
        <w:jc w:val="both"/>
        <w:rPr>
          <w:rFonts w:ascii="Arial" w:hAnsi="Arial" w:cs="Arial"/>
          <w:lang w:eastAsia="zh-HK"/>
        </w:rPr>
      </w:pPr>
      <w:r w:rsidRPr="00B226E9">
        <w:rPr>
          <w:rFonts w:ascii="Arial" w:hAnsi="Arial" w:cs="Arial"/>
          <w:lang w:eastAsia="zh-HK"/>
        </w:rPr>
        <w:t>James Lindley</w:t>
      </w:r>
    </w:p>
    <w:p w:rsidR="001B0531" w:rsidRPr="00B226E9" w:rsidRDefault="001B0531" w:rsidP="00B226E9">
      <w:pPr>
        <w:spacing w:after="0" w:line="240" w:lineRule="auto"/>
        <w:jc w:val="both"/>
        <w:rPr>
          <w:rFonts w:ascii="Arial" w:hAnsi="Arial" w:cs="Arial"/>
          <w:lang w:eastAsia="zh-HK"/>
        </w:rPr>
      </w:pPr>
      <w:r w:rsidRPr="00B226E9">
        <w:rPr>
          <w:rFonts w:ascii="Arial" w:hAnsi="Arial" w:cs="Arial"/>
          <w:lang w:eastAsia="zh-HK"/>
        </w:rPr>
        <w:t>Manager Systems Performance and Commercial</w:t>
      </w:r>
    </w:p>
    <w:p w:rsidR="00E92B3C" w:rsidRPr="00B226E9" w:rsidRDefault="001B0531" w:rsidP="00B226E9">
      <w:pPr>
        <w:spacing w:after="0" w:line="240" w:lineRule="auto"/>
        <w:jc w:val="both"/>
        <w:rPr>
          <w:rFonts w:ascii="Arial" w:hAnsi="Arial" w:cs="Arial"/>
          <w:lang w:eastAsia="zh-HK"/>
        </w:rPr>
      </w:pPr>
      <w:r w:rsidRPr="00B226E9">
        <w:rPr>
          <w:rFonts w:ascii="Arial" w:hAnsi="Arial" w:cs="Arial"/>
          <w:lang w:eastAsia="zh-HK"/>
        </w:rPr>
        <w:t>Australian Energy Market Operator</w:t>
      </w:r>
    </w:p>
    <w:p w:rsidR="00460CF5" w:rsidRPr="00B226E9" w:rsidRDefault="005C63E8" w:rsidP="00B226E9">
      <w:pPr>
        <w:spacing w:after="0" w:line="240" w:lineRule="auto"/>
        <w:jc w:val="both"/>
        <w:rPr>
          <w:rFonts w:ascii="Arial" w:hAnsi="Arial" w:cs="Arial"/>
          <w:lang w:eastAsia="en-AU"/>
        </w:rPr>
      </w:pPr>
      <w:r w:rsidRPr="00B226E9">
        <w:rPr>
          <w:rFonts w:ascii="Arial" w:hAnsi="Arial" w:cs="Arial"/>
          <w:lang w:eastAsia="en-AU"/>
        </w:rPr>
        <w:t xml:space="preserve">Submitted </w:t>
      </w:r>
      <w:r w:rsidR="001A2004" w:rsidRPr="00B226E9">
        <w:rPr>
          <w:rFonts w:ascii="Arial" w:hAnsi="Arial" w:cs="Arial"/>
          <w:lang w:eastAsia="en-AU"/>
        </w:rPr>
        <w:t>to</w:t>
      </w:r>
      <w:r w:rsidR="005D70F2" w:rsidRPr="00B226E9">
        <w:rPr>
          <w:rFonts w:ascii="Arial" w:hAnsi="Arial" w:cs="Arial"/>
          <w:lang w:eastAsia="zh-HK"/>
        </w:rPr>
        <w:t xml:space="preserve"> </w:t>
      </w:r>
      <w:hyperlink r:id="rId9" w:history="1">
        <w:r w:rsidR="005D70F2" w:rsidRPr="00B226E9">
          <w:rPr>
            <w:rStyle w:val="Hyperlink"/>
            <w:rFonts w:ascii="Arial" w:hAnsi="Arial" w:cs="Arial"/>
            <w:lang w:eastAsia="zh-HK"/>
          </w:rPr>
          <w:t>mlf.process@aemo.com.au</w:t>
        </w:r>
      </w:hyperlink>
    </w:p>
    <w:p w:rsidR="000C5131" w:rsidRPr="00B226E9" w:rsidRDefault="000C5131" w:rsidP="00B226E9">
      <w:pPr>
        <w:spacing w:after="0"/>
        <w:jc w:val="both"/>
        <w:rPr>
          <w:rFonts w:ascii="Arial" w:hAnsi="Arial" w:cs="Arial"/>
        </w:rPr>
      </w:pPr>
    </w:p>
    <w:p w:rsidR="004709C8" w:rsidRPr="00B226E9" w:rsidRDefault="004709C8" w:rsidP="00B226E9">
      <w:pPr>
        <w:spacing w:after="0"/>
        <w:jc w:val="both"/>
        <w:rPr>
          <w:rFonts w:ascii="Arial" w:hAnsi="Arial" w:cs="Arial"/>
        </w:rPr>
      </w:pPr>
    </w:p>
    <w:p w:rsidR="00AA2AC9" w:rsidRPr="00B226E9" w:rsidRDefault="00AA2AC9" w:rsidP="00B226E9">
      <w:pPr>
        <w:spacing w:after="0" w:line="240" w:lineRule="auto"/>
        <w:jc w:val="both"/>
        <w:rPr>
          <w:rFonts w:ascii="Arial" w:hAnsi="Arial" w:cs="Arial"/>
          <w:lang w:eastAsia="zh-HK"/>
        </w:rPr>
      </w:pPr>
      <w:r w:rsidRPr="00B226E9">
        <w:rPr>
          <w:rFonts w:ascii="Arial" w:hAnsi="Arial" w:cs="Arial"/>
        </w:rPr>
        <w:t xml:space="preserve">Dear </w:t>
      </w:r>
      <w:r w:rsidR="001B0531" w:rsidRPr="00B226E9">
        <w:rPr>
          <w:rFonts w:ascii="Arial" w:hAnsi="Arial" w:cs="Arial"/>
          <w:lang w:eastAsia="zh-HK"/>
        </w:rPr>
        <w:t>James</w:t>
      </w:r>
    </w:p>
    <w:p w:rsidR="00AA2AC9" w:rsidRPr="00B226E9" w:rsidRDefault="00AA2AC9" w:rsidP="00B226E9">
      <w:pPr>
        <w:spacing w:after="0" w:line="240" w:lineRule="auto"/>
        <w:jc w:val="both"/>
        <w:rPr>
          <w:rFonts w:ascii="Arial" w:hAnsi="Arial" w:cs="Arial"/>
        </w:rPr>
      </w:pPr>
    </w:p>
    <w:p w:rsidR="001B0531" w:rsidRPr="00B226E9" w:rsidRDefault="00885515" w:rsidP="00B226E9">
      <w:pPr>
        <w:spacing w:after="0" w:line="240" w:lineRule="auto"/>
        <w:jc w:val="both"/>
        <w:rPr>
          <w:rFonts w:ascii="Arial" w:hAnsi="Arial" w:cs="Arial"/>
          <w:b/>
          <w:lang w:eastAsia="zh-HK"/>
        </w:rPr>
      </w:pPr>
      <w:r w:rsidRPr="00B226E9">
        <w:rPr>
          <w:rFonts w:ascii="Arial" w:hAnsi="Arial" w:cs="Arial"/>
          <w:b/>
        </w:rPr>
        <w:t>R</w:t>
      </w:r>
      <w:r w:rsidR="006361FF" w:rsidRPr="00B226E9">
        <w:rPr>
          <w:rFonts w:ascii="Arial" w:hAnsi="Arial" w:cs="Arial"/>
          <w:b/>
        </w:rPr>
        <w:t>e</w:t>
      </w:r>
      <w:r w:rsidR="000C5131" w:rsidRPr="00B226E9">
        <w:rPr>
          <w:rFonts w:ascii="Arial" w:hAnsi="Arial" w:cs="Arial"/>
          <w:b/>
        </w:rPr>
        <w:t>:</w:t>
      </w:r>
      <w:r w:rsidR="006361FF" w:rsidRPr="00B226E9">
        <w:rPr>
          <w:rFonts w:ascii="Arial" w:hAnsi="Arial" w:cs="Arial"/>
          <w:b/>
        </w:rPr>
        <w:t xml:space="preserve"> </w:t>
      </w:r>
      <w:r w:rsidR="001B0531" w:rsidRPr="00B226E9">
        <w:rPr>
          <w:rFonts w:ascii="Arial" w:hAnsi="Arial" w:cs="Arial"/>
          <w:b/>
          <w:lang w:eastAsia="zh-HK"/>
        </w:rPr>
        <w:t xml:space="preserve">Forward Looking Loss Factor Calculation Methodology </w:t>
      </w:r>
      <w:r w:rsidR="00595C0B" w:rsidRPr="00B226E9">
        <w:rPr>
          <w:rFonts w:ascii="Arial" w:hAnsi="Arial" w:cs="Arial"/>
          <w:b/>
          <w:lang w:eastAsia="zh-HK"/>
        </w:rPr>
        <w:t>Draft Determination</w:t>
      </w:r>
      <w:r w:rsidR="001B0531" w:rsidRPr="00B226E9">
        <w:rPr>
          <w:rFonts w:ascii="Arial" w:hAnsi="Arial" w:cs="Arial"/>
          <w:b/>
          <w:lang w:eastAsia="zh-HK"/>
        </w:rPr>
        <w:t xml:space="preserve"> 2016</w:t>
      </w:r>
    </w:p>
    <w:p w:rsidR="008E72C5" w:rsidRPr="00B226E9" w:rsidRDefault="008E72C5" w:rsidP="00B226E9">
      <w:pPr>
        <w:spacing w:after="0" w:line="240" w:lineRule="auto"/>
        <w:jc w:val="both"/>
        <w:rPr>
          <w:rFonts w:ascii="Arial" w:hAnsi="Arial" w:cs="Arial"/>
          <w:b/>
          <w:lang w:eastAsia="zh-HK"/>
        </w:rPr>
      </w:pPr>
    </w:p>
    <w:p w:rsidR="00595C0B" w:rsidRPr="00B226E9" w:rsidRDefault="00AA2AC9" w:rsidP="00B226E9">
      <w:pPr>
        <w:pStyle w:val="Default"/>
        <w:jc w:val="both"/>
        <w:rPr>
          <w:sz w:val="22"/>
          <w:szCs w:val="22"/>
        </w:rPr>
      </w:pPr>
      <w:r w:rsidRPr="00B226E9">
        <w:rPr>
          <w:sz w:val="22"/>
          <w:szCs w:val="22"/>
        </w:rPr>
        <w:t xml:space="preserve">Thank you for the opportunity to respond to </w:t>
      </w:r>
      <w:r w:rsidR="00A42201" w:rsidRPr="00B226E9">
        <w:rPr>
          <w:sz w:val="22"/>
          <w:szCs w:val="22"/>
        </w:rPr>
        <w:t xml:space="preserve">the </w:t>
      </w:r>
      <w:r w:rsidR="002274C0" w:rsidRPr="00B226E9">
        <w:rPr>
          <w:sz w:val="22"/>
          <w:szCs w:val="22"/>
        </w:rPr>
        <w:t xml:space="preserve">Forward Looking Loss Factor Calculation </w:t>
      </w:r>
      <w:r w:rsidR="002001CD" w:rsidRPr="00B226E9">
        <w:rPr>
          <w:rFonts w:eastAsia="PMingLiU"/>
          <w:sz w:val="22"/>
          <w:szCs w:val="22"/>
          <w:lang w:eastAsia="zh-HK"/>
        </w:rPr>
        <w:t xml:space="preserve">Methodology </w:t>
      </w:r>
      <w:r w:rsidR="00595C0B" w:rsidRPr="00B226E9">
        <w:rPr>
          <w:rFonts w:eastAsia="PMingLiU"/>
          <w:sz w:val="22"/>
          <w:szCs w:val="22"/>
          <w:lang w:eastAsia="zh-HK"/>
        </w:rPr>
        <w:t>Draft Report and Determination</w:t>
      </w:r>
      <w:r w:rsidR="002274C0" w:rsidRPr="00B226E9">
        <w:rPr>
          <w:rFonts w:eastAsia="PMingLiU"/>
          <w:sz w:val="22"/>
          <w:szCs w:val="22"/>
          <w:lang w:eastAsia="zh-HK"/>
        </w:rPr>
        <w:t xml:space="preserve"> 2016</w:t>
      </w:r>
      <w:r w:rsidR="00595C0B" w:rsidRPr="00B226E9">
        <w:rPr>
          <w:rFonts w:eastAsia="PMingLiU"/>
          <w:sz w:val="22"/>
          <w:szCs w:val="22"/>
          <w:lang w:eastAsia="zh-HK"/>
        </w:rPr>
        <w:t xml:space="preserve"> (Draft Determination)</w:t>
      </w:r>
      <w:r w:rsidR="002274C0" w:rsidRPr="00B226E9">
        <w:rPr>
          <w:rFonts w:eastAsia="PMingLiU"/>
          <w:sz w:val="22"/>
          <w:szCs w:val="22"/>
          <w:lang w:eastAsia="zh-HK"/>
        </w:rPr>
        <w:t xml:space="preserve">. </w:t>
      </w:r>
      <w:r w:rsidR="00E245F0" w:rsidRPr="00B226E9">
        <w:rPr>
          <w:rFonts w:eastAsia="PMingLiU"/>
          <w:sz w:val="22"/>
          <w:szCs w:val="22"/>
          <w:lang w:eastAsia="zh-HK"/>
        </w:rPr>
        <w:t xml:space="preserve"> </w:t>
      </w:r>
      <w:r w:rsidR="002274C0" w:rsidRPr="00B226E9">
        <w:rPr>
          <w:sz w:val="22"/>
          <w:szCs w:val="22"/>
        </w:rPr>
        <w:t xml:space="preserve">Stanwell understands that </w:t>
      </w:r>
      <w:r w:rsidR="00595C0B" w:rsidRPr="00B226E9">
        <w:rPr>
          <w:sz w:val="22"/>
          <w:szCs w:val="22"/>
        </w:rPr>
        <w:t xml:space="preserve">the major change proposed by </w:t>
      </w:r>
      <w:r w:rsidR="00BC3E34" w:rsidRPr="00B226E9">
        <w:rPr>
          <w:sz w:val="22"/>
          <w:szCs w:val="22"/>
        </w:rPr>
        <w:t>the Australian Energy Market Operator (</w:t>
      </w:r>
      <w:r w:rsidR="00595C0B" w:rsidRPr="00B226E9">
        <w:rPr>
          <w:sz w:val="22"/>
          <w:szCs w:val="22"/>
        </w:rPr>
        <w:t>AEMO</w:t>
      </w:r>
      <w:r w:rsidR="00BC3E34" w:rsidRPr="00B226E9">
        <w:rPr>
          <w:sz w:val="22"/>
          <w:szCs w:val="22"/>
        </w:rPr>
        <w:t>)</w:t>
      </w:r>
      <w:r w:rsidR="00595C0B" w:rsidRPr="00B226E9">
        <w:rPr>
          <w:sz w:val="22"/>
          <w:szCs w:val="22"/>
        </w:rPr>
        <w:t xml:space="preserve"> compared to the </w:t>
      </w:r>
      <w:r w:rsidR="00F1387A" w:rsidRPr="00B226E9">
        <w:rPr>
          <w:sz w:val="22"/>
          <w:szCs w:val="22"/>
        </w:rPr>
        <w:t xml:space="preserve">last consultation </w:t>
      </w:r>
      <w:r w:rsidR="00595C0B" w:rsidRPr="00B226E9">
        <w:rPr>
          <w:sz w:val="22"/>
          <w:szCs w:val="22"/>
        </w:rPr>
        <w:t xml:space="preserve">is to exclude outliers from the determination of the generation cap. Outliers are proposed to be removed if they are more than </w:t>
      </w:r>
      <w:r w:rsidR="0014009D" w:rsidRPr="00B226E9">
        <w:rPr>
          <w:sz w:val="22"/>
          <w:szCs w:val="22"/>
        </w:rPr>
        <w:t xml:space="preserve">1.645 </w:t>
      </w:r>
      <w:r w:rsidR="00595C0B" w:rsidRPr="00B226E9">
        <w:rPr>
          <w:sz w:val="22"/>
          <w:szCs w:val="22"/>
        </w:rPr>
        <w:t>standard deviation</w:t>
      </w:r>
      <w:r w:rsidR="0014009D" w:rsidRPr="00B226E9">
        <w:rPr>
          <w:sz w:val="22"/>
          <w:szCs w:val="22"/>
        </w:rPr>
        <w:t>s</w:t>
      </w:r>
      <w:r w:rsidR="00595C0B" w:rsidRPr="00B226E9">
        <w:rPr>
          <w:sz w:val="22"/>
          <w:szCs w:val="22"/>
        </w:rPr>
        <w:t xml:space="preserve"> </w:t>
      </w:r>
      <w:r w:rsidR="00C34CDC" w:rsidRPr="00B226E9">
        <w:rPr>
          <w:sz w:val="22"/>
          <w:szCs w:val="22"/>
        </w:rPr>
        <w:t xml:space="preserve">away </w:t>
      </w:r>
      <w:r w:rsidR="00595C0B" w:rsidRPr="00B226E9">
        <w:rPr>
          <w:sz w:val="22"/>
          <w:szCs w:val="22"/>
        </w:rPr>
        <w:t>from the five year historical average generation. If an outlier is removed it is proposed to be replaced by generation from an earlier historical year.</w:t>
      </w:r>
      <w:r w:rsidR="004B5708" w:rsidRPr="00B226E9">
        <w:rPr>
          <w:sz w:val="22"/>
          <w:szCs w:val="22"/>
        </w:rPr>
        <w:t xml:space="preserve"> AEMO also considered incorporating </w:t>
      </w:r>
      <w:r w:rsidR="00BC3E34" w:rsidRPr="00B226E9">
        <w:rPr>
          <w:sz w:val="22"/>
          <w:szCs w:val="22"/>
        </w:rPr>
        <w:t>Medium Term Projected Assessment of System Adequacy (</w:t>
      </w:r>
      <w:r w:rsidR="004B5708" w:rsidRPr="00B226E9">
        <w:rPr>
          <w:sz w:val="22"/>
          <w:szCs w:val="22"/>
        </w:rPr>
        <w:t>MT PASA</w:t>
      </w:r>
      <w:r w:rsidR="00BC3E34" w:rsidRPr="00B226E9">
        <w:rPr>
          <w:sz w:val="22"/>
          <w:szCs w:val="22"/>
        </w:rPr>
        <w:t>)</w:t>
      </w:r>
      <w:r w:rsidR="004B5708" w:rsidRPr="00B226E9">
        <w:rPr>
          <w:sz w:val="22"/>
          <w:szCs w:val="22"/>
        </w:rPr>
        <w:t xml:space="preserve"> into the calculation process but ultimately determined against </w:t>
      </w:r>
      <w:r w:rsidR="00254A16" w:rsidRPr="00B226E9">
        <w:rPr>
          <w:sz w:val="22"/>
          <w:szCs w:val="22"/>
        </w:rPr>
        <w:t>this proposal</w:t>
      </w:r>
      <w:r w:rsidR="004B5708" w:rsidRPr="00B226E9">
        <w:rPr>
          <w:sz w:val="22"/>
          <w:szCs w:val="22"/>
        </w:rPr>
        <w:t>.</w:t>
      </w:r>
    </w:p>
    <w:p w:rsidR="00AC3015" w:rsidRPr="00B226E9" w:rsidRDefault="00AC3015" w:rsidP="00B226E9">
      <w:pPr>
        <w:pStyle w:val="Default"/>
        <w:jc w:val="both"/>
        <w:rPr>
          <w:sz w:val="22"/>
          <w:szCs w:val="22"/>
        </w:rPr>
      </w:pPr>
    </w:p>
    <w:p w:rsidR="00AC3015" w:rsidRPr="00B226E9" w:rsidRDefault="00AC3015" w:rsidP="00B226E9">
      <w:pPr>
        <w:pStyle w:val="Default"/>
        <w:jc w:val="both"/>
        <w:rPr>
          <w:sz w:val="22"/>
          <w:szCs w:val="22"/>
        </w:rPr>
      </w:pPr>
      <w:r w:rsidRPr="00B226E9">
        <w:rPr>
          <w:sz w:val="22"/>
          <w:szCs w:val="22"/>
        </w:rPr>
        <w:t>With the further explanations provided by AEMO in the Draft Determination, Stanwell now supports th</w:t>
      </w:r>
      <w:r w:rsidR="002D04E1" w:rsidRPr="00B226E9">
        <w:rPr>
          <w:sz w:val="22"/>
          <w:szCs w:val="22"/>
        </w:rPr>
        <w:t xml:space="preserve">e generation cap </w:t>
      </w:r>
      <w:r w:rsidRPr="00B226E9">
        <w:rPr>
          <w:sz w:val="22"/>
          <w:szCs w:val="22"/>
        </w:rPr>
        <w:t>approach to calculating Marginal Loss Factors (MLFs).  It is simple, transparent and will produce reasonable results.</w:t>
      </w:r>
      <w:r w:rsidR="002D04E1" w:rsidRPr="00B226E9">
        <w:rPr>
          <w:sz w:val="22"/>
          <w:szCs w:val="22"/>
        </w:rPr>
        <w:t xml:space="preserve"> Stanwell does not support the removal of outliers (outlier method)</w:t>
      </w:r>
      <w:r w:rsidR="006F61B5" w:rsidRPr="00B226E9">
        <w:rPr>
          <w:sz w:val="22"/>
          <w:szCs w:val="22"/>
        </w:rPr>
        <w:t xml:space="preserve"> as an augmentation to the generation cap approach</w:t>
      </w:r>
      <w:r w:rsidR="002D04E1" w:rsidRPr="00B226E9">
        <w:rPr>
          <w:sz w:val="22"/>
          <w:szCs w:val="22"/>
        </w:rPr>
        <w:t xml:space="preserve"> as described in the Draft Determination.</w:t>
      </w:r>
      <w:r w:rsidR="004B5708" w:rsidRPr="00B226E9">
        <w:rPr>
          <w:sz w:val="22"/>
          <w:szCs w:val="22"/>
        </w:rPr>
        <w:t xml:space="preserve"> With respect to the use of MT PASA, Stanwell believes MT PASA could be used in conjunction with the five year historical average to produce a better generation cap.</w:t>
      </w:r>
    </w:p>
    <w:p w:rsidR="00AC3015" w:rsidRPr="00B226E9" w:rsidRDefault="00AC3015" w:rsidP="00B226E9">
      <w:pPr>
        <w:pStyle w:val="Default"/>
        <w:jc w:val="both"/>
        <w:rPr>
          <w:b/>
          <w:sz w:val="22"/>
          <w:szCs w:val="22"/>
        </w:rPr>
      </w:pPr>
    </w:p>
    <w:p w:rsidR="00595C0B" w:rsidRPr="00B226E9" w:rsidRDefault="00595C0B" w:rsidP="00B226E9">
      <w:pPr>
        <w:pStyle w:val="Default"/>
        <w:spacing w:after="120"/>
        <w:jc w:val="both"/>
        <w:rPr>
          <w:b/>
          <w:sz w:val="22"/>
          <w:szCs w:val="22"/>
        </w:rPr>
      </w:pPr>
      <w:r w:rsidRPr="00B226E9">
        <w:rPr>
          <w:b/>
          <w:sz w:val="22"/>
          <w:szCs w:val="22"/>
        </w:rPr>
        <w:t>Outlier method introduces unnecessary complexity</w:t>
      </w:r>
    </w:p>
    <w:p w:rsidR="00AC3015" w:rsidRPr="00B226E9" w:rsidRDefault="00595C0B" w:rsidP="00B226E9">
      <w:pPr>
        <w:pStyle w:val="Default"/>
        <w:jc w:val="both"/>
        <w:rPr>
          <w:sz w:val="22"/>
          <w:szCs w:val="22"/>
        </w:rPr>
      </w:pPr>
      <w:r w:rsidRPr="00B226E9">
        <w:rPr>
          <w:sz w:val="22"/>
          <w:szCs w:val="22"/>
        </w:rPr>
        <w:t xml:space="preserve">Stanwell does not support the adoption of the proposed outlier method as it introduces unnecessary complexity. </w:t>
      </w:r>
      <w:r w:rsidR="00C34CDC" w:rsidRPr="00B226E9">
        <w:rPr>
          <w:sz w:val="22"/>
          <w:szCs w:val="22"/>
        </w:rPr>
        <w:t xml:space="preserve">As stated in our last submission, an appropriate balance must be maintained between a simple, transparent calculation methodology and one which provides the most accurate forecast of loss factors. Although the outlier method may produce a more representative forecast in some cases, it also introduces complexity. For example, what if the previous year to be substituted for the outlier is </w:t>
      </w:r>
      <w:r w:rsidR="008E4112" w:rsidRPr="00B226E9">
        <w:rPr>
          <w:sz w:val="22"/>
          <w:szCs w:val="22"/>
        </w:rPr>
        <w:t>also an</w:t>
      </w:r>
      <w:r w:rsidR="00C34CDC" w:rsidRPr="00B226E9">
        <w:rPr>
          <w:sz w:val="22"/>
          <w:szCs w:val="22"/>
        </w:rPr>
        <w:t xml:space="preserve"> outlier? </w:t>
      </w:r>
      <w:r w:rsidR="00AC3015" w:rsidRPr="00B226E9">
        <w:rPr>
          <w:sz w:val="22"/>
          <w:szCs w:val="22"/>
        </w:rPr>
        <w:t>It is unclear what decision AEMO would make in th</w:t>
      </w:r>
      <w:r w:rsidR="00FF00E6" w:rsidRPr="00B226E9">
        <w:rPr>
          <w:sz w:val="22"/>
          <w:szCs w:val="22"/>
        </w:rPr>
        <w:t>is</w:t>
      </w:r>
      <w:r w:rsidR="00AC3015" w:rsidRPr="00B226E9">
        <w:rPr>
          <w:sz w:val="22"/>
          <w:szCs w:val="22"/>
        </w:rPr>
        <w:t xml:space="preserve"> circumstance.</w:t>
      </w:r>
      <w:r w:rsidR="00FF00E6" w:rsidRPr="00B226E9">
        <w:rPr>
          <w:sz w:val="22"/>
          <w:szCs w:val="22"/>
        </w:rPr>
        <w:t xml:space="preserve"> If the outlier method is to be retained, it may be simpler, more transparent and provide a better forecast if the</w:t>
      </w:r>
      <w:r w:rsidR="0014009D" w:rsidRPr="00B226E9">
        <w:rPr>
          <w:sz w:val="22"/>
          <w:szCs w:val="22"/>
        </w:rPr>
        <w:t xml:space="preserve"> outlier is removed without replacement.</w:t>
      </w:r>
    </w:p>
    <w:p w:rsidR="00AC3015" w:rsidRPr="00B226E9" w:rsidRDefault="00AC3015" w:rsidP="00B226E9">
      <w:pPr>
        <w:pStyle w:val="Default"/>
        <w:jc w:val="both"/>
        <w:rPr>
          <w:sz w:val="22"/>
          <w:szCs w:val="22"/>
        </w:rPr>
      </w:pPr>
    </w:p>
    <w:p w:rsidR="00595C0B" w:rsidRPr="00B226E9" w:rsidRDefault="00C34CDC" w:rsidP="00B226E9">
      <w:pPr>
        <w:pStyle w:val="Default"/>
        <w:jc w:val="both"/>
        <w:rPr>
          <w:sz w:val="22"/>
          <w:szCs w:val="22"/>
        </w:rPr>
      </w:pPr>
      <w:r w:rsidRPr="00B226E9">
        <w:rPr>
          <w:sz w:val="22"/>
          <w:szCs w:val="22"/>
        </w:rPr>
        <w:t xml:space="preserve">The </w:t>
      </w:r>
      <w:r w:rsidR="00802F88" w:rsidRPr="00B226E9">
        <w:rPr>
          <w:sz w:val="22"/>
          <w:szCs w:val="22"/>
        </w:rPr>
        <w:t xml:space="preserve">National Electricity Rules (NER) </w:t>
      </w:r>
      <w:r w:rsidRPr="00B226E9">
        <w:rPr>
          <w:sz w:val="22"/>
          <w:szCs w:val="22"/>
        </w:rPr>
        <w:t xml:space="preserve">requirement to not remove the most current year is also problematic to the application of the outlier method. </w:t>
      </w:r>
      <w:r w:rsidR="0014009D" w:rsidRPr="00B226E9">
        <w:rPr>
          <w:sz w:val="22"/>
          <w:szCs w:val="22"/>
        </w:rPr>
        <w:t xml:space="preserve"> It is inconsistent to remove an outlier if it is one of the four earlier years in the five year sample but not to remove it if it is the most recent year. </w:t>
      </w:r>
    </w:p>
    <w:p w:rsidR="00D02312" w:rsidRPr="00B226E9" w:rsidRDefault="00D02312" w:rsidP="00B226E9">
      <w:pPr>
        <w:pStyle w:val="Default"/>
        <w:jc w:val="both"/>
        <w:rPr>
          <w:sz w:val="22"/>
          <w:szCs w:val="22"/>
        </w:rPr>
      </w:pPr>
    </w:p>
    <w:p w:rsidR="00802F88" w:rsidRPr="00B226E9" w:rsidRDefault="003266DA" w:rsidP="00B226E9">
      <w:pPr>
        <w:pStyle w:val="Default"/>
        <w:spacing w:after="120"/>
        <w:jc w:val="both"/>
        <w:rPr>
          <w:b/>
          <w:sz w:val="22"/>
          <w:szCs w:val="22"/>
        </w:rPr>
      </w:pPr>
      <w:r w:rsidRPr="00B226E9">
        <w:rPr>
          <w:b/>
          <w:sz w:val="22"/>
          <w:szCs w:val="22"/>
        </w:rPr>
        <w:t>Use of MT PASA to identify outages in generation forecasts</w:t>
      </w:r>
    </w:p>
    <w:p w:rsidR="00A77067" w:rsidRPr="00B226E9" w:rsidRDefault="003266DA" w:rsidP="00B226E9">
      <w:pPr>
        <w:pStyle w:val="Default"/>
        <w:jc w:val="both"/>
        <w:rPr>
          <w:sz w:val="22"/>
          <w:szCs w:val="22"/>
        </w:rPr>
      </w:pPr>
      <w:r w:rsidRPr="00B226E9">
        <w:rPr>
          <w:sz w:val="22"/>
          <w:szCs w:val="22"/>
        </w:rPr>
        <w:t xml:space="preserve">Stanwell supports the proposal for AEMO to use MT PASA </w:t>
      </w:r>
      <w:r w:rsidR="000D0F1F" w:rsidRPr="00B226E9">
        <w:rPr>
          <w:sz w:val="22"/>
          <w:szCs w:val="22"/>
        </w:rPr>
        <w:t xml:space="preserve">in its </w:t>
      </w:r>
      <w:r w:rsidRPr="00B226E9">
        <w:rPr>
          <w:sz w:val="22"/>
          <w:szCs w:val="22"/>
        </w:rPr>
        <w:t>calculation of MLFs</w:t>
      </w:r>
      <w:r w:rsidR="00A77067" w:rsidRPr="00B226E9">
        <w:rPr>
          <w:sz w:val="22"/>
          <w:szCs w:val="22"/>
        </w:rPr>
        <w:t>.</w:t>
      </w:r>
      <w:r w:rsidR="00CF3B72" w:rsidRPr="00B226E9">
        <w:rPr>
          <w:sz w:val="22"/>
          <w:szCs w:val="22"/>
        </w:rPr>
        <w:t xml:space="preserve"> </w:t>
      </w:r>
      <w:r w:rsidR="00A77067" w:rsidRPr="00B226E9">
        <w:rPr>
          <w:sz w:val="22"/>
          <w:szCs w:val="22"/>
        </w:rPr>
        <w:t>Rather than using MT PASA to set the level of forecast generation</w:t>
      </w:r>
      <w:r w:rsidR="00BC3E34" w:rsidRPr="00B226E9">
        <w:rPr>
          <w:sz w:val="22"/>
          <w:szCs w:val="22"/>
        </w:rPr>
        <w:t xml:space="preserve"> as implied by AEMO in the Draft Determination</w:t>
      </w:r>
      <w:r w:rsidR="00A77067" w:rsidRPr="00B226E9">
        <w:rPr>
          <w:sz w:val="22"/>
          <w:szCs w:val="22"/>
        </w:rPr>
        <w:t>, MT PASA could be used to set the cap. The cap could be defined as</w:t>
      </w:r>
      <w:r w:rsidR="00511619">
        <w:rPr>
          <w:sz w:val="22"/>
          <w:szCs w:val="22"/>
        </w:rPr>
        <w:t>:</w:t>
      </w:r>
    </w:p>
    <w:p w:rsidR="00A77067" w:rsidRPr="00B226E9" w:rsidRDefault="00A77067" w:rsidP="00B226E9">
      <w:pPr>
        <w:pStyle w:val="Default"/>
        <w:ind w:firstLine="720"/>
        <w:jc w:val="both"/>
        <w:rPr>
          <w:i/>
          <w:sz w:val="22"/>
          <w:szCs w:val="22"/>
        </w:rPr>
      </w:pPr>
      <w:r w:rsidRPr="00B226E9">
        <w:rPr>
          <w:i/>
          <w:sz w:val="22"/>
          <w:szCs w:val="22"/>
        </w:rPr>
        <w:lastRenderedPageBreak/>
        <w:t>the maximum of MT PASA and the five year historical generation cap</w:t>
      </w:r>
    </w:p>
    <w:p w:rsidR="00A77067" w:rsidRPr="00B226E9" w:rsidRDefault="00A77067" w:rsidP="00B226E9">
      <w:pPr>
        <w:pStyle w:val="Default"/>
        <w:jc w:val="both"/>
        <w:rPr>
          <w:sz w:val="22"/>
          <w:szCs w:val="22"/>
        </w:rPr>
      </w:pPr>
    </w:p>
    <w:p w:rsidR="00F3187A" w:rsidRPr="00B226E9" w:rsidRDefault="00A77067" w:rsidP="00B226E9">
      <w:pPr>
        <w:pStyle w:val="Default"/>
        <w:jc w:val="both"/>
        <w:rPr>
          <w:sz w:val="22"/>
          <w:szCs w:val="22"/>
        </w:rPr>
      </w:pPr>
      <w:r w:rsidRPr="00B226E9">
        <w:rPr>
          <w:sz w:val="22"/>
          <w:szCs w:val="22"/>
        </w:rPr>
        <w:t xml:space="preserve">This approach would </w:t>
      </w:r>
      <w:r w:rsidR="005263DF" w:rsidRPr="00B226E9">
        <w:rPr>
          <w:sz w:val="22"/>
          <w:szCs w:val="22"/>
        </w:rPr>
        <w:t xml:space="preserve">provide an enhanced forecast without the </w:t>
      </w:r>
      <w:r w:rsidRPr="00B226E9">
        <w:rPr>
          <w:sz w:val="22"/>
          <w:szCs w:val="22"/>
        </w:rPr>
        <w:t>need to adjust historical data for outages</w:t>
      </w:r>
      <w:r w:rsidR="005263DF" w:rsidRPr="00B226E9">
        <w:rPr>
          <w:sz w:val="22"/>
          <w:szCs w:val="22"/>
        </w:rPr>
        <w:t>.</w:t>
      </w:r>
    </w:p>
    <w:p w:rsidR="00F3187A" w:rsidRPr="00B226E9" w:rsidRDefault="00F3187A" w:rsidP="00B226E9">
      <w:pPr>
        <w:pStyle w:val="Default"/>
        <w:jc w:val="both"/>
        <w:rPr>
          <w:sz w:val="22"/>
          <w:szCs w:val="22"/>
        </w:rPr>
      </w:pPr>
    </w:p>
    <w:p w:rsidR="00BC3E34" w:rsidRPr="00B226E9" w:rsidRDefault="00BC3E34" w:rsidP="00B226E9">
      <w:pPr>
        <w:pStyle w:val="Default"/>
        <w:jc w:val="both"/>
        <w:rPr>
          <w:sz w:val="22"/>
          <w:szCs w:val="22"/>
        </w:rPr>
      </w:pPr>
      <w:r w:rsidRPr="00B226E9">
        <w:rPr>
          <w:sz w:val="22"/>
          <w:szCs w:val="22"/>
        </w:rPr>
        <w:t>Market participants take their obligation</w:t>
      </w:r>
      <w:r w:rsidRPr="00B226E9">
        <w:rPr>
          <w:rStyle w:val="FootnoteReference"/>
          <w:sz w:val="22"/>
          <w:szCs w:val="22"/>
        </w:rPr>
        <w:footnoteReference w:id="1"/>
      </w:r>
      <w:r w:rsidRPr="00B226E9">
        <w:rPr>
          <w:sz w:val="22"/>
          <w:szCs w:val="22"/>
        </w:rPr>
        <w:t xml:space="preserve"> to provide accurate Projected Assessment of System Adequacy (PASA) availability to AEMO very seriously. The Australian Energy Regulator (AER) has stated its expectation</w:t>
      </w:r>
      <w:r w:rsidRPr="00B226E9">
        <w:rPr>
          <w:rStyle w:val="FootnoteReference"/>
          <w:sz w:val="22"/>
          <w:szCs w:val="22"/>
        </w:rPr>
        <w:footnoteReference w:id="2"/>
      </w:r>
      <w:r w:rsidRPr="00B226E9">
        <w:rPr>
          <w:sz w:val="22"/>
          <w:szCs w:val="22"/>
        </w:rPr>
        <w:t xml:space="preserve"> that market participants regularly review their inputs and provide updated data when they become aware of any change that will have a material impact on operating conditions. The AER also recently undertook a targeted compliance review</w:t>
      </w:r>
      <w:r w:rsidRPr="00B226E9">
        <w:rPr>
          <w:rStyle w:val="FootnoteReference"/>
          <w:sz w:val="22"/>
          <w:szCs w:val="22"/>
        </w:rPr>
        <w:footnoteReference w:id="3"/>
      </w:r>
      <w:r w:rsidRPr="00B226E9">
        <w:rPr>
          <w:sz w:val="22"/>
          <w:szCs w:val="22"/>
        </w:rPr>
        <w:t xml:space="preserve"> of Short Term Projected Assessment of System Adequacy (ST PASA) which highlights the seriousness of the obligation as well as the extensive calculation and data checking processes participants have in place to ensure accurate data is provided. </w:t>
      </w:r>
    </w:p>
    <w:p w:rsidR="00BC3E34" w:rsidRPr="00B226E9" w:rsidRDefault="00BC3E34" w:rsidP="00B226E9">
      <w:pPr>
        <w:pStyle w:val="Default"/>
        <w:jc w:val="both"/>
        <w:rPr>
          <w:sz w:val="22"/>
          <w:szCs w:val="22"/>
        </w:rPr>
      </w:pPr>
    </w:p>
    <w:p w:rsidR="003A5B12" w:rsidRPr="00B226E9" w:rsidRDefault="00C57476" w:rsidP="00B226E9">
      <w:pPr>
        <w:pStyle w:val="Default"/>
        <w:jc w:val="both"/>
        <w:rPr>
          <w:sz w:val="22"/>
          <w:szCs w:val="22"/>
        </w:rPr>
      </w:pPr>
      <w:r w:rsidRPr="00B226E9">
        <w:rPr>
          <w:sz w:val="22"/>
          <w:szCs w:val="22"/>
        </w:rPr>
        <w:t>AEMO states</w:t>
      </w:r>
      <w:r w:rsidR="00F3187A" w:rsidRPr="00B226E9">
        <w:rPr>
          <w:sz w:val="22"/>
          <w:szCs w:val="22"/>
        </w:rPr>
        <w:t xml:space="preserve"> that, “</w:t>
      </w:r>
      <w:r w:rsidR="00F3187A" w:rsidRPr="00B226E9">
        <w:rPr>
          <w:i/>
          <w:sz w:val="22"/>
          <w:szCs w:val="22"/>
        </w:rPr>
        <w:t>MT PASA does not necessarily reflect future outages</w:t>
      </w:r>
      <w:r w:rsidR="00F3187A" w:rsidRPr="00B226E9">
        <w:rPr>
          <w:sz w:val="22"/>
          <w:szCs w:val="22"/>
        </w:rPr>
        <w:t>.”</w:t>
      </w:r>
      <w:r w:rsidR="00F3187A" w:rsidRPr="00B226E9">
        <w:rPr>
          <w:rStyle w:val="FootnoteReference"/>
          <w:sz w:val="22"/>
          <w:szCs w:val="22"/>
        </w:rPr>
        <w:footnoteReference w:id="4"/>
      </w:r>
      <w:r w:rsidR="00F3187A" w:rsidRPr="00B226E9">
        <w:rPr>
          <w:sz w:val="22"/>
          <w:szCs w:val="22"/>
        </w:rPr>
        <w:t xml:space="preserve"> This statement is true in the same manner that </w:t>
      </w:r>
      <w:r w:rsidR="003A5B12" w:rsidRPr="00B226E9">
        <w:rPr>
          <w:sz w:val="22"/>
          <w:szCs w:val="22"/>
        </w:rPr>
        <w:t xml:space="preserve">AEMO’s </w:t>
      </w:r>
      <w:r w:rsidR="00F3187A" w:rsidRPr="00B226E9">
        <w:rPr>
          <w:sz w:val="22"/>
          <w:szCs w:val="22"/>
        </w:rPr>
        <w:t>demand forecasts may not necessarily reflect future d</w:t>
      </w:r>
      <w:r w:rsidR="003A5B12" w:rsidRPr="00B226E9">
        <w:rPr>
          <w:sz w:val="22"/>
          <w:szCs w:val="22"/>
        </w:rPr>
        <w:t xml:space="preserve">emand. </w:t>
      </w:r>
      <w:r w:rsidR="00F3187A" w:rsidRPr="00B226E9">
        <w:rPr>
          <w:sz w:val="22"/>
          <w:szCs w:val="22"/>
        </w:rPr>
        <w:t>MT PASA is the best forecast of the future outag</w:t>
      </w:r>
      <w:r w:rsidR="003A5B12" w:rsidRPr="00B226E9">
        <w:rPr>
          <w:sz w:val="22"/>
          <w:szCs w:val="22"/>
        </w:rPr>
        <w:t xml:space="preserve">es of individual power stations and its use </w:t>
      </w:r>
      <w:r w:rsidR="005263DF" w:rsidRPr="00B226E9">
        <w:rPr>
          <w:sz w:val="22"/>
          <w:szCs w:val="22"/>
        </w:rPr>
        <w:t>as part of the cap methodology</w:t>
      </w:r>
      <w:r w:rsidR="003A5B12" w:rsidRPr="00B226E9">
        <w:rPr>
          <w:sz w:val="22"/>
          <w:szCs w:val="22"/>
        </w:rPr>
        <w:t xml:space="preserve"> would greatly increase the accuracy of the MLFs</w:t>
      </w:r>
      <w:r w:rsidR="005263DF" w:rsidRPr="00B226E9">
        <w:rPr>
          <w:sz w:val="22"/>
          <w:szCs w:val="22"/>
        </w:rPr>
        <w:t xml:space="preserve">. This is especially the case when </w:t>
      </w:r>
      <w:r w:rsidR="004B5708" w:rsidRPr="00B226E9">
        <w:rPr>
          <w:sz w:val="22"/>
          <w:szCs w:val="22"/>
        </w:rPr>
        <w:t xml:space="preserve">the historical data does not reflect </w:t>
      </w:r>
      <w:r w:rsidR="005263DF" w:rsidRPr="00B226E9">
        <w:rPr>
          <w:sz w:val="22"/>
          <w:szCs w:val="22"/>
        </w:rPr>
        <w:t>significant outages</w:t>
      </w:r>
      <w:r w:rsidR="004B5708" w:rsidRPr="00B226E9">
        <w:rPr>
          <w:sz w:val="22"/>
          <w:szCs w:val="22"/>
        </w:rPr>
        <w:t xml:space="preserve">. </w:t>
      </w:r>
    </w:p>
    <w:p w:rsidR="00D02312" w:rsidRPr="00B226E9" w:rsidRDefault="00D02312" w:rsidP="00B226E9">
      <w:pPr>
        <w:pStyle w:val="Default"/>
        <w:jc w:val="both"/>
        <w:rPr>
          <w:sz w:val="22"/>
          <w:szCs w:val="22"/>
        </w:rPr>
      </w:pPr>
    </w:p>
    <w:p w:rsidR="001214DB" w:rsidRPr="00B226E9" w:rsidRDefault="001C35F4" w:rsidP="00B226E9">
      <w:pPr>
        <w:pStyle w:val="Default"/>
        <w:jc w:val="both"/>
        <w:rPr>
          <w:sz w:val="22"/>
          <w:szCs w:val="22"/>
        </w:rPr>
      </w:pPr>
      <w:r w:rsidRPr="00B226E9">
        <w:rPr>
          <w:sz w:val="22"/>
          <w:szCs w:val="22"/>
        </w:rPr>
        <w:t xml:space="preserve">AEMO has published a table comparing the expected number of outage days </w:t>
      </w:r>
      <w:r w:rsidR="006E7323" w:rsidRPr="00B226E9">
        <w:rPr>
          <w:sz w:val="22"/>
          <w:szCs w:val="22"/>
        </w:rPr>
        <w:t>(</w:t>
      </w:r>
      <w:r w:rsidRPr="00B226E9">
        <w:rPr>
          <w:sz w:val="22"/>
          <w:szCs w:val="22"/>
        </w:rPr>
        <w:t>taken from a snapshot of MT PASA</w:t>
      </w:r>
      <w:r w:rsidR="006E7323" w:rsidRPr="00B226E9">
        <w:rPr>
          <w:sz w:val="22"/>
          <w:szCs w:val="22"/>
        </w:rPr>
        <w:t>)</w:t>
      </w:r>
      <w:r w:rsidRPr="00B226E9">
        <w:rPr>
          <w:sz w:val="22"/>
          <w:szCs w:val="22"/>
        </w:rPr>
        <w:t xml:space="preserve"> with the actual number of outage days</w:t>
      </w:r>
      <w:r w:rsidR="006E7323" w:rsidRPr="00B226E9">
        <w:rPr>
          <w:rStyle w:val="FootnoteReference"/>
          <w:sz w:val="22"/>
          <w:szCs w:val="22"/>
        </w:rPr>
        <w:footnoteReference w:id="5"/>
      </w:r>
      <w:r w:rsidRPr="00B226E9">
        <w:rPr>
          <w:sz w:val="22"/>
          <w:szCs w:val="22"/>
        </w:rPr>
        <w:t>.</w:t>
      </w:r>
      <w:r w:rsidR="006E7323" w:rsidRPr="00B226E9">
        <w:rPr>
          <w:sz w:val="22"/>
          <w:szCs w:val="22"/>
        </w:rPr>
        <w:t xml:space="preserve"> Stanwell notes the table shows only those units where the differen</w:t>
      </w:r>
      <w:r w:rsidR="00254A16" w:rsidRPr="00B226E9">
        <w:rPr>
          <w:sz w:val="22"/>
          <w:szCs w:val="22"/>
        </w:rPr>
        <w:t>ce</w:t>
      </w:r>
      <w:r w:rsidR="006E7323" w:rsidRPr="00B226E9">
        <w:rPr>
          <w:sz w:val="22"/>
          <w:szCs w:val="22"/>
        </w:rPr>
        <w:t xml:space="preserve"> between forecast and actual outage days is greater than ten. As only seven units </w:t>
      </w:r>
      <w:r w:rsidR="00941F38" w:rsidRPr="00B226E9">
        <w:rPr>
          <w:sz w:val="22"/>
          <w:szCs w:val="22"/>
        </w:rPr>
        <w:t xml:space="preserve">out of 356 scheduled units </w:t>
      </w:r>
      <w:r w:rsidR="006E7323" w:rsidRPr="00B226E9">
        <w:rPr>
          <w:sz w:val="22"/>
          <w:szCs w:val="22"/>
        </w:rPr>
        <w:t xml:space="preserve">met </w:t>
      </w:r>
      <w:r w:rsidR="00254A16" w:rsidRPr="00B226E9">
        <w:rPr>
          <w:sz w:val="22"/>
          <w:szCs w:val="22"/>
        </w:rPr>
        <w:t xml:space="preserve">the </w:t>
      </w:r>
      <w:r w:rsidR="006E7323" w:rsidRPr="00B226E9">
        <w:rPr>
          <w:sz w:val="22"/>
          <w:szCs w:val="22"/>
        </w:rPr>
        <w:t xml:space="preserve">criteria, </w:t>
      </w:r>
      <w:r w:rsidR="00BC3E34" w:rsidRPr="00B226E9">
        <w:rPr>
          <w:sz w:val="22"/>
          <w:szCs w:val="22"/>
        </w:rPr>
        <w:t xml:space="preserve">it appears that </w:t>
      </w:r>
      <w:r w:rsidR="00133424" w:rsidRPr="00B226E9">
        <w:rPr>
          <w:sz w:val="22"/>
          <w:szCs w:val="22"/>
        </w:rPr>
        <w:t xml:space="preserve">that </w:t>
      </w:r>
      <w:r w:rsidR="006E7323" w:rsidRPr="00B226E9">
        <w:rPr>
          <w:sz w:val="22"/>
          <w:szCs w:val="22"/>
        </w:rPr>
        <w:t xml:space="preserve">MT PASA </w:t>
      </w:r>
      <w:r w:rsidR="00133424" w:rsidRPr="00B226E9">
        <w:rPr>
          <w:sz w:val="22"/>
          <w:szCs w:val="22"/>
        </w:rPr>
        <w:t xml:space="preserve">does </w:t>
      </w:r>
      <w:r w:rsidR="00C34821" w:rsidRPr="00B226E9">
        <w:rPr>
          <w:sz w:val="22"/>
          <w:szCs w:val="22"/>
        </w:rPr>
        <w:t xml:space="preserve">provide a </w:t>
      </w:r>
      <w:r w:rsidR="001214DB" w:rsidRPr="00B226E9">
        <w:rPr>
          <w:sz w:val="22"/>
          <w:szCs w:val="22"/>
        </w:rPr>
        <w:t>very accurate forecast</w:t>
      </w:r>
      <w:r w:rsidR="00C34821" w:rsidRPr="00B226E9">
        <w:rPr>
          <w:sz w:val="22"/>
          <w:szCs w:val="22"/>
        </w:rPr>
        <w:t xml:space="preserve"> for the vast majority of generating units. </w:t>
      </w:r>
    </w:p>
    <w:p w:rsidR="00CF3B72" w:rsidRPr="00B226E9" w:rsidRDefault="00CF3B72" w:rsidP="00B226E9">
      <w:pPr>
        <w:pStyle w:val="Default"/>
        <w:jc w:val="both"/>
        <w:rPr>
          <w:sz w:val="22"/>
          <w:szCs w:val="22"/>
        </w:rPr>
      </w:pPr>
    </w:p>
    <w:p w:rsidR="001214DB" w:rsidRPr="00B226E9" w:rsidRDefault="001214DB" w:rsidP="00B226E9">
      <w:pPr>
        <w:pStyle w:val="Default"/>
        <w:jc w:val="both"/>
        <w:rPr>
          <w:sz w:val="22"/>
          <w:szCs w:val="22"/>
        </w:rPr>
      </w:pPr>
      <w:r w:rsidRPr="00B226E9">
        <w:rPr>
          <w:sz w:val="22"/>
          <w:szCs w:val="22"/>
        </w:rPr>
        <w:t xml:space="preserve">Of the </w:t>
      </w:r>
      <w:r w:rsidR="00CF3B72" w:rsidRPr="00B226E9">
        <w:rPr>
          <w:sz w:val="22"/>
          <w:szCs w:val="22"/>
        </w:rPr>
        <w:t>“</w:t>
      </w:r>
      <w:r w:rsidR="00133424" w:rsidRPr="00B226E9">
        <w:rPr>
          <w:sz w:val="22"/>
          <w:szCs w:val="22"/>
        </w:rPr>
        <w:t>large</w:t>
      </w:r>
      <w:r w:rsidR="00CF3B72" w:rsidRPr="00B226E9">
        <w:rPr>
          <w:sz w:val="22"/>
          <w:szCs w:val="22"/>
        </w:rPr>
        <w:t>”</w:t>
      </w:r>
      <w:r w:rsidR="00133424" w:rsidRPr="00B226E9">
        <w:rPr>
          <w:sz w:val="22"/>
          <w:szCs w:val="22"/>
        </w:rPr>
        <w:t xml:space="preserve"> </w:t>
      </w:r>
      <w:r w:rsidR="00CF3B72" w:rsidRPr="00B226E9">
        <w:rPr>
          <w:sz w:val="22"/>
          <w:szCs w:val="22"/>
        </w:rPr>
        <w:t>discrepancies</w:t>
      </w:r>
      <w:r w:rsidR="00133424" w:rsidRPr="00B226E9">
        <w:rPr>
          <w:sz w:val="22"/>
          <w:szCs w:val="22"/>
        </w:rPr>
        <w:t xml:space="preserve"> noted by AEMO in the outage data</w:t>
      </w:r>
      <w:r w:rsidR="004B5708" w:rsidRPr="00B226E9">
        <w:rPr>
          <w:sz w:val="22"/>
          <w:szCs w:val="22"/>
        </w:rPr>
        <w:t>,</w:t>
      </w:r>
      <w:r w:rsidR="00133424" w:rsidRPr="00B226E9">
        <w:rPr>
          <w:sz w:val="22"/>
          <w:szCs w:val="22"/>
        </w:rPr>
        <w:t xml:space="preserve"> </w:t>
      </w:r>
      <w:r w:rsidR="0083615A" w:rsidRPr="00B226E9">
        <w:rPr>
          <w:sz w:val="22"/>
          <w:szCs w:val="22"/>
        </w:rPr>
        <w:t xml:space="preserve">four appear to relate to </w:t>
      </w:r>
      <w:r w:rsidR="00133424" w:rsidRPr="00B226E9">
        <w:rPr>
          <w:sz w:val="22"/>
          <w:szCs w:val="22"/>
        </w:rPr>
        <w:t>major commercial decisions</w:t>
      </w:r>
      <w:r w:rsidR="0083615A" w:rsidRPr="00B226E9">
        <w:rPr>
          <w:sz w:val="22"/>
          <w:szCs w:val="22"/>
        </w:rPr>
        <w:t xml:space="preserve"> around mothballing or retirement </w:t>
      </w:r>
      <w:r w:rsidR="00254A16" w:rsidRPr="00B226E9">
        <w:rPr>
          <w:sz w:val="22"/>
          <w:szCs w:val="22"/>
        </w:rPr>
        <w:t xml:space="preserve">at the following power stations </w:t>
      </w:r>
      <w:r w:rsidR="0083615A" w:rsidRPr="00B226E9">
        <w:rPr>
          <w:sz w:val="22"/>
          <w:szCs w:val="22"/>
        </w:rPr>
        <w:t xml:space="preserve">– Tarong </w:t>
      </w:r>
      <w:r w:rsidR="00254A16" w:rsidRPr="00B226E9">
        <w:rPr>
          <w:sz w:val="22"/>
          <w:szCs w:val="22"/>
        </w:rPr>
        <w:t xml:space="preserve">Unit </w:t>
      </w:r>
      <w:r w:rsidR="0083615A" w:rsidRPr="00B226E9">
        <w:rPr>
          <w:sz w:val="22"/>
          <w:szCs w:val="22"/>
        </w:rPr>
        <w:t xml:space="preserve">4, Northern </w:t>
      </w:r>
      <w:r w:rsidR="00254A16" w:rsidRPr="00B226E9">
        <w:rPr>
          <w:sz w:val="22"/>
          <w:szCs w:val="22"/>
        </w:rPr>
        <w:t xml:space="preserve">Unit </w:t>
      </w:r>
      <w:r w:rsidR="0083615A" w:rsidRPr="00B226E9">
        <w:rPr>
          <w:sz w:val="22"/>
          <w:szCs w:val="22"/>
        </w:rPr>
        <w:t xml:space="preserve">2, Morwell </w:t>
      </w:r>
      <w:r w:rsidR="00254A16" w:rsidRPr="00B226E9">
        <w:rPr>
          <w:sz w:val="22"/>
          <w:szCs w:val="22"/>
        </w:rPr>
        <w:t xml:space="preserve">Unit </w:t>
      </w:r>
      <w:r w:rsidR="0083615A" w:rsidRPr="00B226E9">
        <w:rPr>
          <w:sz w:val="22"/>
          <w:szCs w:val="22"/>
        </w:rPr>
        <w:t xml:space="preserve">2 and Meadowbank. </w:t>
      </w:r>
      <w:r w:rsidR="00B41443" w:rsidRPr="00B226E9">
        <w:rPr>
          <w:sz w:val="22"/>
          <w:szCs w:val="22"/>
        </w:rPr>
        <w:t xml:space="preserve">The snapshot of MT PASA reveals that these decisions were not known in advance by the participants or AEMO and that the MLF calculation for these units is likely to have been </w:t>
      </w:r>
      <w:r w:rsidR="0083615A" w:rsidRPr="00B226E9">
        <w:rPr>
          <w:sz w:val="22"/>
          <w:szCs w:val="22"/>
        </w:rPr>
        <w:t>“</w:t>
      </w:r>
      <w:r w:rsidR="00B41443" w:rsidRPr="00B226E9">
        <w:rPr>
          <w:sz w:val="22"/>
          <w:szCs w:val="22"/>
        </w:rPr>
        <w:t>inaccurate</w:t>
      </w:r>
      <w:r w:rsidR="0083615A" w:rsidRPr="00B226E9">
        <w:rPr>
          <w:sz w:val="22"/>
          <w:szCs w:val="22"/>
        </w:rPr>
        <w:t>”</w:t>
      </w:r>
      <w:r w:rsidR="00B41443" w:rsidRPr="00B226E9">
        <w:rPr>
          <w:sz w:val="22"/>
          <w:szCs w:val="22"/>
        </w:rPr>
        <w:t xml:space="preserve"> regard</w:t>
      </w:r>
      <w:r w:rsidR="00B06365" w:rsidRPr="00B226E9">
        <w:rPr>
          <w:sz w:val="22"/>
          <w:szCs w:val="22"/>
        </w:rPr>
        <w:t xml:space="preserve">less. </w:t>
      </w:r>
      <w:r w:rsidR="0083615A" w:rsidRPr="00B226E9">
        <w:rPr>
          <w:sz w:val="22"/>
          <w:szCs w:val="22"/>
        </w:rPr>
        <w:t>For</w:t>
      </w:r>
      <w:r w:rsidR="00B06365" w:rsidRPr="00B226E9">
        <w:rPr>
          <w:sz w:val="22"/>
          <w:szCs w:val="22"/>
        </w:rPr>
        <w:t xml:space="preserve"> the remaining </w:t>
      </w:r>
      <w:r w:rsidR="0083615A" w:rsidRPr="00B226E9">
        <w:rPr>
          <w:sz w:val="22"/>
          <w:szCs w:val="22"/>
        </w:rPr>
        <w:t>three</w:t>
      </w:r>
      <w:r w:rsidR="00B06365" w:rsidRPr="00B226E9">
        <w:rPr>
          <w:sz w:val="22"/>
          <w:szCs w:val="22"/>
        </w:rPr>
        <w:t xml:space="preserve"> units with a greater than ten day discrepancy, </w:t>
      </w:r>
      <w:r w:rsidR="0083615A" w:rsidRPr="00B226E9">
        <w:rPr>
          <w:sz w:val="22"/>
          <w:szCs w:val="22"/>
        </w:rPr>
        <w:t>the impact on MLF calculations appears likely to be minor – indeed for Gordon</w:t>
      </w:r>
      <w:r w:rsidR="00BC3E34" w:rsidRPr="00B226E9">
        <w:rPr>
          <w:sz w:val="22"/>
          <w:szCs w:val="22"/>
        </w:rPr>
        <w:t xml:space="preserve"> </w:t>
      </w:r>
      <w:r w:rsidR="00B14425">
        <w:rPr>
          <w:sz w:val="22"/>
          <w:szCs w:val="22"/>
        </w:rPr>
        <w:t>P</w:t>
      </w:r>
      <w:r w:rsidR="00BC3E34" w:rsidRPr="00B226E9">
        <w:rPr>
          <w:sz w:val="22"/>
          <w:szCs w:val="22"/>
        </w:rPr>
        <w:t xml:space="preserve">ower </w:t>
      </w:r>
      <w:r w:rsidR="00B14425">
        <w:rPr>
          <w:sz w:val="22"/>
          <w:szCs w:val="22"/>
        </w:rPr>
        <w:t>S</w:t>
      </w:r>
      <w:r w:rsidR="00B14425" w:rsidRPr="00B226E9">
        <w:rPr>
          <w:sz w:val="22"/>
          <w:szCs w:val="22"/>
        </w:rPr>
        <w:t xml:space="preserve">tation </w:t>
      </w:r>
      <w:r w:rsidR="0083615A" w:rsidRPr="00B226E9">
        <w:rPr>
          <w:sz w:val="22"/>
          <w:szCs w:val="22"/>
        </w:rPr>
        <w:t>excluding MT</w:t>
      </w:r>
      <w:r w:rsidR="00254A16" w:rsidRPr="00B226E9">
        <w:rPr>
          <w:sz w:val="22"/>
          <w:szCs w:val="22"/>
        </w:rPr>
        <w:t xml:space="preserve"> </w:t>
      </w:r>
      <w:r w:rsidR="0083615A" w:rsidRPr="00B226E9">
        <w:rPr>
          <w:sz w:val="22"/>
          <w:szCs w:val="22"/>
        </w:rPr>
        <w:t>PASA appears more distortionary than including “excess” forecast outages</w:t>
      </w:r>
      <w:r w:rsidR="00807CDC" w:rsidRPr="00B226E9">
        <w:rPr>
          <w:sz w:val="22"/>
          <w:szCs w:val="22"/>
        </w:rPr>
        <w:t>.</w:t>
      </w:r>
    </w:p>
    <w:p w:rsidR="006E7323" w:rsidRPr="00B226E9" w:rsidRDefault="006E7323" w:rsidP="00B226E9">
      <w:pPr>
        <w:pStyle w:val="Default"/>
        <w:jc w:val="both"/>
        <w:rPr>
          <w:sz w:val="22"/>
          <w:szCs w:val="22"/>
        </w:rPr>
      </w:pPr>
    </w:p>
    <w:p w:rsidR="00CA678A" w:rsidRPr="00B226E9" w:rsidRDefault="00CA678A" w:rsidP="00B226E9">
      <w:pPr>
        <w:pStyle w:val="Default"/>
        <w:jc w:val="both"/>
        <w:rPr>
          <w:sz w:val="22"/>
          <w:szCs w:val="22"/>
        </w:rPr>
      </w:pPr>
      <w:r w:rsidRPr="00B226E9">
        <w:rPr>
          <w:sz w:val="22"/>
          <w:szCs w:val="22"/>
        </w:rPr>
        <w:t>Each of these considerations supports the conclusion that, while not perfect, MT</w:t>
      </w:r>
      <w:r w:rsidR="00254A16" w:rsidRPr="00B226E9">
        <w:rPr>
          <w:sz w:val="22"/>
          <w:szCs w:val="22"/>
        </w:rPr>
        <w:t xml:space="preserve"> </w:t>
      </w:r>
      <w:r w:rsidRPr="00B226E9">
        <w:rPr>
          <w:sz w:val="22"/>
          <w:szCs w:val="22"/>
        </w:rPr>
        <w:t>PASA represents a reasonably robust forecast of generator availability</w:t>
      </w:r>
      <w:r w:rsidR="004B5708" w:rsidRPr="00B226E9">
        <w:rPr>
          <w:sz w:val="22"/>
          <w:szCs w:val="22"/>
        </w:rPr>
        <w:t xml:space="preserve"> and should be incorporated into the cap methodology</w:t>
      </w:r>
      <w:r w:rsidRPr="00B226E9">
        <w:rPr>
          <w:sz w:val="22"/>
          <w:szCs w:val="22"/>
        </w:rPr>
        <w:t>.</w:t>
      </w:r>
    </w:p>
    <w:p w:rsidR="006E7323" w:rsidRPr="00B226E9" w:rsidRDefault="006E7323" w:rsidP="00B226E9">
      <w:pPr>
        <w:pStyle w:val="Default"/>
        <w:jc w:val="both"/>
        <w:rPr>
          <w:sz w:val="22"/>
          <w:szCs w:val="22"/>
        </w:rPr>
      </w:pPr>
    </w:p>
    <w:p w:rsidR="008E4112" w:rsidRPr="00B226E9" w:rsidRDefault="008E4112" w:rsidP="00B226E9">
      <w:pPr>
        <w:pStyle w:val="Default"/>
        <w:spacing w:after="120"/>
        <w:jc w:val="both"/>
        <w:rPr>
          <w:b/>
          <w:sz w:val="22"/>
          <w:szCs w:val="22"/>
        </w:rPr>
      </w:pPr>
      <w:r w:rsidRPr="00B226E9">
        <w:rPr>
          <w:b/>
          <w:sz w:val="22"/>
          <w:szCs w:val="22"/>
        </w:rPr>
        <w:t>Timely publication of proposed generation caps</w:t>
      </w:r>
    </w:p>
    <w:p w:rsidR="0055711F" w:rsidRPr="00B226E9" w:rsidRDefault="0055711F" w:rsidP="00B226E9">
      <w:pPr>
        <w:spacing w:after="0" w:line="240" w:lineRule="auto"/>
        <w:jc w:val="both"/>
        <w:rPr>
          <w:rFonts w:ascii="Arial" w:eastAsia="Times New Roman" w:hAnsi="Arial" w:cs="Arial"/>
          <w:color w:val="000000"/>
          <w:lang w:eastAsia="en-AU"/>
        </w:rPr>
      </w:pPr>
      <w:r w:rsidRPr="00B226E9">
        <w:rPr>
          <w:rFonts w:ascii="Arial" w:eastAsia="Times New Roman" w:hAnsi="Arial" w:cs="Arial"/>
          <w:color w:val="000000"/>
        </w:rPr>
        <w:t xml:space="preserve">Stanwell welcomes AEMO’s acknowledgement that the proposed generation caps are to be published alongside the first run of </w:t>
      </w:r>
      <w:r w:rsidR="00801D42" w:rsidRPr="00B226E9">
        <w:rPr>
          <w:rFonts w:ascii="Arial" w:eastAsia="Times New Roman" w:hAnsi="Arial" w:cs="Arial"/>
          <w:color w:val="000000"/>
        </w:rPr>
        <w:t xml:space="preserve">the </w:t>
      </w:r>
      <w:r w:rsidRPr="00B226E9">
        <w:rPr>
          <w:rFonts w:ascii="Arial" w:eastAsia="Times New Roman" w:hAnsi="Arial" w:cs="Arial"/>
          <w:color w:val="000000"/>
        </w:rPr>
        <w:t>indicative extrapolation data</w:t>
      </w:r>
      <w:r w:rsidR="00801D42" w:rsidRPr="00B226E9">
        <w:rPr>
          <w:rFonts w:ascii="Arial" w:eastAsia="Times New Roman" w:hAnsi="Arial" w:cs="Arial"/>
          <w:color w:val="000000"/>
        </w:rPr>
        <w:t>.</w:t>
      </w:r>
      <w:r w:rsidRPr="00B226E9">
        <w:rPr>
          <w:rFonts w:ascii="Arial" w:eastAsia="Times New Roman" w:hAnsi="Arial" w:cs="Arial"/>
          <w:color w:val="000000"/>
        </w:rPr>
        <w:t xml:space="preserve">  </w:t>
      </w:r>
      <w:r w:rsidR="00801D42" w:rsidRPr="00B226E9">
        <w:rPr>
          <w:rFonts w:ascii="Arial" w:eastAsia="Times New Roman" w:hAnsi="Arial" w:cs="Arial"/>
          <w:color w:val="000000"/>
        </w:rPr>
        <w:t xml:space="preserve">This enables participants to check the cap to confirm that it is feasible at the same time as checking the generation data. Once published and confirmed by a participant, </w:t>
      </w:r>
      <w:r w:rsidRPr="00B226E9">
        <w:rPr>
          <w:rFonts w:ascii="Arial" w:eastAsia="Times New Roman" w:hAnsi="Arial" w:cs="Arial"/>
          <w:color w:val="000000"/>
        </w:rPr>
        <w:t xml:space="preserve">there should be no increase </w:t>
      </w:r>
      <w:r w:rsidRPr="00B226E9">
        <w:rPr>
          <w:rFonts w:ascii="Arial" w:eastAsia="Times New Roman" w:hAnsi="Arial" w:cs="Arial"/>
          <w:color w:val="000000"/>
        </w:rPr>
        <w:lastRenderedPageBreak/>
        <w:t xml:space="preserve">to the cap without prior confirmation from the participant.  Without such proactive confirmation there is a risk that </w:t>
      </w:r>
      <w:r w:rsidR="00801D42" w:rsidRPr="00B226E9">
        <w:rPr>
          <w:rFonts w:ascii="Arial" w:eastAsia="Times New Roman" w:hAnsi="Arial" w:cs="Arial"/>
          <w:color w:val="000000"/>
        </w:rPr>
        <w:t>a revised</w:t>
      </w:r>
      <w:r w:rsidR="00801D42" w:rsidRPr="00B226E9">
        <w:rPr>
          <w:rFonts w:ascii="Arial" w:eastAsia="Times New Roman" w:hAnsi="Arial" w:cs="Arial"/>
          <w:color w:val="000000"/>
          <w:lang w:eastAsia="en-AU"/>
        </w:rPr>
        <w:t xml:space="preserve"> cap is unachievable and therefore the corresponding generation forecast is </w:t>
      </w:r>
      <w:r w:rsidRPr="00B226E9">
        <w:rPr>
          <w:rFonts w:ascii="Arial" w:eastAsia="Times New Roman" w:hAnsi="Arial" w:cs="Arial"/>
          <w:color w:val="000000"/>
          <w:lang w:eastAsia="en-AU"/>
        </w:rPr>
        <w:t xml:space="preserve">rendered moot through the production </w:t>
      </w:r>
      <w:r w:rsidR="00801D42" w:rsidRPr="00B226E9">
        <w:rPr>
          <w:rFonts w:ascii="Arial" w:eastAsia="Times New Roman" w:hAnsi="Arial" w:cs="Arial"/>
          <w:color w:val="000000"/>
          <w:lang w:eastAsia="en-AU"/>
        </w:rPr>
        <w:t xml:space="preserve">of </w:t>
      </w:r>
      <w:r w:rsidR="0049602C" w:rsidRPr="00B226E9">
        <w:rPr>
          <w:rFonts w:ascii="Arial" w:eastAsia="Times New Roman" w:hAnsi="Arial" w:cs="Arial"/>
          <w:color w:val="000000"/>
          <w:lang w:eastAsia="en-AU"/>
        </w:rPr>
        <w:t>infeasible</w:t>
      </w:r>
      <w:r w:rsidRPr="00B226E9">
        <w:rPr>
          <w:rFonts w:ascii="Arial" w:eastAsia="Times New Roman" w:hAnsi="Arial" w:cs="Arial"/>
          <w:color w:val="000000"/>
          <w:lang w:eastAsia="en-AU"/>
        </w:rPr>
        <w:t xml:space="preserve"> outcomes.</w:t>
      </w:r>
    </w:p>
    <w:p w:rsidR="0055711F" w:rsidRPr="00B226E9" w:rsidRDefault="0055711F" w:rsidP="00B226E9">
      <w:pPr>
        <w:spacing w:after="0" w:line="240" w:lineRule="auto"/>
        <w:jc w:val="both"/>
        <w:rPr>
          <w:rFonts w:ascii="Arial" w:eastAsia="Times New Roman" w:hAnsi="Arial" w:cs="Arial"/>
          <w:color w:val="000000"/>
          <w:lang w:eastAsia="en-AU"/>
        </w:rPr>
      </w:pPr>
      <w:r w:rsidRPr="00B226E9">
        <w:rPr>
          <w:rFonts w:ascii="Arial" w:eastAsia="Times New Roman" w:hAnsi="Arial" w:cs="Arial"/>
          <w:color w:val="000000"/>
          <w:lang w:eastAsia="en-AU"/>
        </w:rPr>
        <w:br/>
        <w:t xml:space="preserve">As an example, Stanwell Power Station </w:t>
      </w:r>
      <w:r w:rsidR="008503F0" w:rsidRPr="00B226E9">
        <w:rPr>
          <w:rFonts w:ascii="Arial" w:eastAsia="Times New Roman" w:hAnsi="Arial" w:cs="Arial"/>
          <w:color w:val="000000"/>
          <w:lang w:eastAsia="en-AU"/>
        </w:rPr>
        <w:t xml:space="preserve">(SPS) </w:t>
      </w:r>
      <w:r w:rsidRPr="00B226E9">
        <w:rPr>
          <w:rFonts w:ascii="Arial" w:eastAsia="Times New Roman" w:hAnsi="Arial" w:cs="Arial"/>
          <w:color w:val="000000"/>
          <w:lang w:eastAsia="en-AU"/>
        </w:rPr>
        <w:t xml:space="preserve">was initially modelled as having a generation cap of 8.85TWh and </w:t>
      </w:r>
      <w:r w:rsidR="0049602C" w:rsidRPr="00B226E9">
        <w:rPr>
          <w:rFonts w:ascii="Arial" w:eastAsia="Times New Roman" w:hAnsi="Arial" w:cs="Arial"/>
          <w:color w:val="000000"/>
          <w:lang w:eastAsia="en-AU"/>
        </w:rPr>
        <w:t xml:space="preserve">a </w:t>
      </w:r>
      <w:r w:rsidRPr="00B226E9">
        <w:rPr>
          <w:rFonts w:ascii="Arial" w:eastAsia="Times New Roman" w:hAnsi="Arial" w:cs="Arial"/>
          <w:color w:val="000000"/>
          <w:lang w:eastAsia="en-AU"/>
        </w:rPr>
        <w:t>modelled output of 8.83TWh</w:t>
      </w:r>
      <w:r w:rsidR="0049602C" w:rsidRPr="00B226E9">
        <w:rPr>
          <w:rFonts w:ascii="Arial" w:eastAsia="Times New Roman" w:hAnsi="Arial" w:cs="Arial"/>
          <w:color w:val="000000"/>
          <w:lang w:eastAsia="en-AU"/>
        </w:rPr>
        <w:t>. A</w:t>
      </w:r>
      <w:r w:rsidRPr="00B226E9">
        <w:rPr>
          <w:rFonts w:ascii="Arial" w:eastAsia="Times New Roman" w:hAnsi="Arial" w:cs="Arial"/>
          <w:color w:val="000000"/>
          <w:lang w:eastAsia="en-AU"/>
        </w:rPr>
        <w:t xml:space="preserve">fter accounting for the announced Hazelwood </w:t>
      </w:r>
      <w:r w:rsidR="00254A16" w:rsidRPr="00B226E9">
        <w:rPr>
          <w:rFonts w:ascii="Arial" w:eastAsia="Times New Roman" w:hAnsi="Arial" w:cs="Arial"/>
          <w:color w:val="000000"/>
          <w:lang w:eastAsia="en-AU"/>
        </w:rPr>
        <w:t xml:space="preserve">Power Station </w:t>
      </w:r>
      <w:r w:rsidR="0049602C" w:rsidRPr="00B226E9">
        <w:rPr>
          <w:rFonts w:ascii="Arial" w:eastAsia="Times New Roman" w:hAnsi="Arial" w:cs="Arial"/>
          <w:color w:val="000000"/>
          <w:lang w:eastAsia="en-AU"/>
        </w:rPr>
        <w:t>closure, S</w:t>
      </w:r>
      <w:r w:rsidR="008503F0" w:rsidRPr="00B226E9">
        <w:rPr>
          <w:rFonts w:ascii="Arial" w:eastAsia="Times New Roman" w:hAnsi="Arial" w:cs="Arial"/>
          <w:color w:val="000000"/>
          <w:lang w:eastAsia="en-AU"/>
        </w:rPr>
        <w:t>PS</w:t>
      </w:r>
      <w:r w:rsidR="0049602C" w:rsidRPr="00B226E9">
        <w:rPr>
          <w:rFonts w:ascii="Arial" w:eastAsia="Times New Roman" w:hAnsi="Arial" w:cs="Arial"/>
          <w:color w:val="000000"/>
          <w:lang w:eastAsia="en-AU"/>
        </w:rPr>
        <w:t xml:space="preserve"> </w:t>
      </w:r>
      <w:r w:rsidR="00CA678A" w:rsidRPr="00B226E9">
        <w:rPr>
          <w:rFonts w:ascii="Arial" w:eastAsia="Times New Roman" w:hAnsi="Arial" w:cs="Arial"/>
          <w:color w:val="000000"/>
          <w:lang w:eastAsia="en-AU"/>
        </w:rPr>
        <w:t xml:space="preserve">was </w:t>
      </w:r>
      <w:r w:rsidR="0049602C" w:rsidRPr="00B226E9">
        <w:rPr>
          <w:rFonts w:ascii="Arial" w:eastAsia="Times New Roman" w:hAnsi="Arial" w:cs="Arial"/>
          <w:color w:val="000000"/>
          <w:lang w:eastAsia="en-AU"/>
        </w:rPr>
        <w:t xml:space="preserve">subsequently </w:t>
      </w:r>
      <w:r w:rsidR="00CA678A" w:rsidRPr="00B226E9">
        <w:rPr>
          <w:rFonts w:ascii="Arial" w:eastAsia="Times New Roman" w:hAnsi="Arial" w:cs="Arial"/>
          <w:color w:val="000000"/>
          <w:lang w:eastAsia="en-AU"/>
        </w:rPr>
        <w:t>attributed</w:t>
      </w:r>
      <w:r w:rsidR="0049602C" w:rsidRPr="00B226E9">
        <w:rPr>
          <w:rFonts w:ascii="Arial" w:eastAsia="Times New Roman" w:hAnsi="Arial" w:cs="Arial"/>
          <w:color w:val="000000"/>
          <w:lang w:eastAsia="en-AU"/>
        </w:rPr>
        <w:t xml:space="preserve"> </w:t>
      </w:r>
      <w:r w:rsidR="00254A16" w:rsidRPr="00B226E9">
        <w:rPr>
          <w:rFonts w:ascii="Arial" w:eastAsia="Times New Roman" w:hAnsi="Arial" w:cs="Arial"/>
          <w:color w:val="000000"/>
          <w:lang w:eastAsia="en-AU"/>
        </w:rPr>
        <w:t xml:space="preserve">with </w:t>
      </w:r>
      <w:r w:rsidR="0049602C" w:rsidRPr="00B226E9">
        <w:rPr>
          <w:rFonts w:ascii="Arial" w:eastAsia="Times New Roman" w:hAnsi="Arial" w:cs="Arial"/>
          <w:color w:val="000000"/>
          <w:lang w:eastAsia="en-AU"/>
        </w:rPr>
        <w:t xml:space="preserve">a revised generation cap of 9.28TWh and </w:t>
      </w:r>
      <w:r w:rsidRPr="00B226E9">
        <w:rPr>
          <w:rFonts w:ascii="Arial" w:eastAsia="Times New Roman" w:hAnsi="Arial" w:cs="Arial"/>
          <w:color w:val="000000"/>
          <w:lang w:eastAsia="en-AU"/>
        </w:rPr>
        <w:t xml:space="preserve">modelled generation </w:t>
      </w:r>
      <w:r w:rsidR="0049602C" w:rsidRPr="00B226E9">
        <w:rPr>
          <w:rFonts w:ascii="Arial" w:eastAsia="Times New Roman" w:hAnsi="Arial" w:cs="Arial"/>
          <w:color w:val="000000"/>
          <w:lang w:eastAsia="en-AU"/>
        </w:rPr>
        <w:t xml:space="preserve">of </w:t>
      </w:r>
      <w:r w:rsidRPr="00B226E9">
        <w:rPr>
          <w:rFonts w:ascii="Arial" w:eastAsia="Times New Roman" w:hAnsi="Arial" w:cs="Arial"/>
          <w:color w:val="000000"/>
          <w:lang w:eastAsia="en-AU"/>
        </w:rPr>
        <w:t xml:space="preserve">9.51TWh.  If the increase </w:t>
      </w:r>
      <w:r w:rsidR="008503F0" w:rsidRPr="00B226E9">
        <w:rPr>
          <w:rFonts w:ascii="Arial" w:eastAsia="Times New Roman" w:hAnsi="Arial" w:cs="Arial"/>
          <w:color w:val="000000"/>
          <w:lang w:eastAsia="en-AU"/>
        </w:rPr>
        <w:t xml:space="preserve">in forecast generation between modelling runs </w:t>
      </w:r>
      <w:r w:rsidRPr="00B226E9">
        <w:rPr>
          <w:rFonts w:ascii="Arial" w:eastAsia="Times New Roman" w:hAnsi="Arial" w:cs="Arial"/>
          <w:color w:val="000000"/>
          <w:lang w:eastAsia="en-AU"/>
        </w:rPr>
        <w:t xml:space="preserve">from 8.83TWh to </w:t>
      </w:r>
      <w:r w:rsidR="008503F0" w:rsidRPr="00B226E9">
        <w:rPr>
          <w:rFonts w:ascii="Arial" w:eastAsia="Times New Roman" w:hAnsi="Arial" w:cs="Arial"/>
          <w:color w:val="000000"/>
          <w:lang w:eastAsia="en-AU"/>
        </w:rPr>
        <w:t xml:space="preserve">the cap of </w:t>
      </w:r>
      <w:r w:rsidRPr="00B226E9">
        <w:rPr>
          <w:rFonts w:ascii="Arial" w:eastAsia="Times New Roman" w:hAnsi="Arial" w:cs="Arial"/>
          <w:color w:val="000000"/>
          <w:lang w:eastAsia="en-AU"/>
        </w:rPr>
        <w:t>9.23TWh resulted in an unachievable outcome for S</w:t>
      </w:r>
      <w:r w:rsidR="008503F0" w:rsidRPr="00B226E9">
        <w:rPr>
          <w:rFonts w:ascii="Arial" w:eastAsia="Times New Roman" w:hAnsi="Arial" w:cs="Arial"/>
          <w:color w:val="000000"/>
          <w:lang w:eastAsia="en-AU"/>
        </w:rPr>
        <w:t>PS</w:t>
      </w:r>
      <w:r w:rsidRPr="00B226E9">
        <w:rPr>
          <w:rFonts w:ascii="Arial" w:eastAsia="Times New Roman" w:hAnsi="Arial" w:cs="Arial"/>
          <w:color w:val="000000"/>
          <w:lang w:eastAsia="en-AU"/>
        </w:rPr>
        <w:t xml:space="preserve"> </w:t>
      </w:r>
      <w:r w:rsidR="008503F0" w:rsidRPr="00B226E9">
        <w:rPr>
          <w:rFonts w:ascii="Arial" w:eastAsia="Times New Roman" w:hAnsi="Arial" w:cs="Arial"/>
          <w:color w:val="000000"/>
          <w:lang w:eastAsia="en-AU"/>
        </w:rPr>
        <w:t xml:space="preserve">then </w:t>
      </w:r>
      <w:r w:rsidRPr="00B226E9">
        <w:rPr>
          <w:rFonts w:ascii="Arial" w:eastAsia="Times New Roman" w:hAnsi="Arial" w:cs="Arial"/>
          <w:color w:val="000000"/>
          <w:lang w:eastAsia="en-AU"/>
        </w:rPr>
        <w:t xml:space="preserve">further modelling runs would be required to shift the excess generation from SPS to another site.  </w:t>
      </w:r>
      <w:r w:rsidR="00FA3760" w:rsidRPr="00B226E9">
        <w:rPr>
          <w:rFonts w:ascii="Arial" w:eastAsia="Times New Roman" w:hAnsi="Arial" w:cs="Arial"/>
          <w:color w:val="000000"/>
          <w:lang w:eastAsia="en-AU"/>
        </w:rPr>
        <w:t>If this modelling transferred too much generation to other sites, then further modelling would be required</w:t>
      </w:r>
      <w:r w:rsidRPr="00B226E9">
        <w:rPr>
          <w:rFonts w:ascii="Arial" w:eastAsia="Times New Roman" w:hAnsi="Arial" w:cs="Arial"/>
          <w:color w:val="000000"/>
          <w:lang w:eastAsia="en-AU"/>
        </w:rPr>
        <w:t>.</w:t>
      </w:r>
    </w:p>
    <w:p w:rsidR="00807CDC" w:rsidRPr="00B226E9" w:rsidRDefault="00807CDC" w:rsidP="00B226E9">
      <w:pPr>
        <w:spacing w:after="0" w:line="240" w:lineRule="auto"/>
        <w:jc w:val="both"/>
        <w:rPr>
          <w:rFonts w:ascii="Arial" w:eastAsia="Times New Roman" w:hAnsi="Arial" w:cs="Arial"/>
          <w:color w:val="000000"/>
          <w:lang w:eastAsia="en-AU"/>
        </w:rPr>
      </w:pPr>
    </w:p>
    <w:p w:rsidR="00807CDC" w:rsidRPr="00B226E9" w:rsidRDefault="009D4D56">
      <w:pPr>
        <w:jc w:val="both"/>
        <w:rPr>
          <w:rFonts w:ascii="Arial" w:eastAsia="Times New Roman" w:hAnsi="Arial" w:cs="Arial"/>
          <w:color w:val="000000"/>
          <w:lang w:eastAsia="en-AU"/>
        </w:rPr>
      </w:pPr>
      <w:r w:rsidRPr="00B226E9">
        <w:rPr>
          <w:rFonts w:ascii="Arial" w:eastAsia="Times New Roman" w:hAnsi="Arial" w:cs="Arial"/>
          <w:noProof/>
          <w:color w:val="000000"/>
          <w:lang w:eastAsia="en-AU"/>
        </w:rPr>
        <w:drawing>
          <wp:inline distT="0" distB="0" distL="0" distR="0" wp14:anchorId="52CD502C" wp14:editId="29898293">
            <wp:extent cx="5729605" cy="5236845"/>
            <wp:effectExtent l="0" t="0" r="4445"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605" cy="5236845"/>
                    </a:xfrm>
                    <a:prstGeom prst="rect">
                      <a:avLst/>
                    </a:prstGeom>
                    <a:noFill/>
                    <a:ln>
                      <a:noFill/>
                    </a:ln>
                  </pic:spPr>
                </pic:pic>
              </a:graphicData>
            </a:graphic>
          </wp:inline>
        </w:drawing>
      </w:r>
    </w:p>
    <w:p w:rsidR="00511619" w:rsidRDefault="0055711F" w:rsidP="00511619">
      <w:pPr>
        <w:spacing w:after="0" w:line="240" w:lineRule="auto"/>
        <w:jc w:val="both"/>
        <w:rPr>
          <w:rFonts w:ascii="Arial" w:eastAsia="Times New Roman" w:hAnsi="Arial" w:cs="Arial"/>
          <w:color w:val="000000"/>
          <w:lang w:eastAsia="en-AU"/>
        </w:rPr>
      </w:pPr>
      <w:r w:rsidRPr="00B226E9">
        <w:rPr>
          <w:rFonts w:ascii="Arial" w:eastAsia="Times New Roman" w:hAnsi="Arial" w:cs="Arial"/>
          <w:color w:val="000000"/>
          <w:lang w:eastAsia="en-AU"/>
        </w:rPr>
        <w:br/>
      </w:r>
    </w:p>
    <w:p w:rsidR="00511619" w:rsidRDefault="00511619">
      <w:pPr>
        <w:spacing w:after="0" w:line="240" w:lineRule="auto"/>
        <w:rPr>
          <w:rFonts w:ascii="Arial" w:eastAsia="Times New Roman" w:hAnsi="Arial" w:cs="Arial"/>
          <w:color w:val="000000"/>
          <w:lang w:eastAsia="en-AU"/>
        </w:rPr>
      </w:pPr>
      <w:r>
        <w:rPr>
          <w:rFonts w:ascii="Arial" w:eastAsia="Times New Roman" w:hAnsi="Arial" w:cs="Arial"/>
          <w:color w:val="000000"/>
          <w:lang w:eastAsia="en-AU"/>
        </w:rPr>
        <w:br w:type="page"/>
      </w:r>
    </w:p>
    <w:p w:rsidR="0055711F" w:rsidRPr="00B226E9" w:rsidRDefault="0055711F" w:rsidP="00B226E9">
      <w:pPr>
        <w:spacing w:after="0" w:line="240" w:lineRule="auto"/>
        <w:jc w:val="both"/>
        <w:rPr>
          <w:rFonts w:ascii="Arial" w:eastAsia="Times New Roman" w:hAnsi="Arial" w:cs="Arial"/>
          <w:color w:val="000000"/>
          <w:lang w:eastAsia="en-AU"/>
        </w:rPr>
      </w:pPr>
      <w:r w:rsidRPr="00B226E9">
        <w:rPr>
          <w:rFonts w:ascii="Arial" w:eastAsia="Times New Roman" w:hAnsi="Arial" w:cs="Arial"/>
          <w:color w:val="000000"/>
          <w:lang w:eastAsia="en-AU"/>
        </w:rPr>
        <w:lastRenderedPageBreak/>
        <w:t xml:space="preserve">Conversely, </w:t>
      </w:r>
      <w:r w:rsidR="00FA3760" w:rsidRPr="00B226E9">
        <w:rPr>
          <w:rFonts w:ascii="Arial" w:eastAsia="Times New Roman" w:hAnsi="Arial" w:cs="Arial"/>
          <w:color w:val="000000"/>
          <w:lang w:eastAsia="en-AU"/>
        </w:rPr>
        <w:t>if</w:t>
      </w:r>
      <w:r w:rsidRPr="00B226E9">
        <w:rPr>
          <w:rFonts w:ascii="Arial" w:eastAsia="Times New Roman" w:hAnsi="Arial" w:cs="Arial"/>
          <w:color w:val="000000"/>
          <w:lang w:eastAsia="en-AU"/>
        </w:rPr>
        <w:t xml:space="preserve"> AEMO identif</w:t>
      </w:r>
      <w:r w:rsidR="00FA3760" w:rsidRPr="00B226E9">
        <w:rPr>
          <w:rFonts w:ascii="Arial" w:eastAsia="Times New Roman" w:hAnsi="Arial" w:cs="Arial"/>
          <w:color w:val="000000"/>
          <w:lang w:eastAsia="en-AU"/>
        </w:rPr>
        <w:t>ied</w:t>
      </w:r>
      <w:r w:rsidRPr="00B226E9">
        <w:rPr>
          <w:rFonts w:ascii="Arial" w:eastAsia="Times New Roman" w:hAnsi="Arial" w:cs="Arial"/>
          <w:color w:val="000000"/>
          <w:lang w:eastAsia="en-AU"/>
        </w:rPr>
        <w:t xml:space="preserve"> the proposed cap increase(s) and consult</w:t>
      </w:r>
      <w:r w:rsidR="00FA3760" w:rsidRPr="00B226E9">
        <w:rPr>
          <w:rFonts w:ascii="Arial" w:eastAsia="Times New Roman" w:hAnsi="Arial" w:cs="Arial"/>
          <w:color w:val="000000"/>
          <w:lang w:eastAsia="en-AU"/>
        </w:rPr>
        <w:t>ed</w:t>
      </w:r>
      <w:r w:rsidRPr="00B226E9">
        <w:rPr>
          <w:rFonts w:ascii="Arial" w:eastAsia="Times New Roman" w:hAnsi="Arial" w:cs="Arial"/>
          <w:color w:val="000000"/>
          <w:lang w:eastAsia="en-AU"/>
        </w:rPr>
        <w:t xml:space="preserve"> with the relevant participants prior to running the second round of modelling</w:t>
      </w:r>
      <w:r w:rsidR="00FA3760" w:rsidRPr="00B226E9">
        <w:rPr>
          <w:rFonts w:ascii="Arial" w:eastAsia="Times New Roman" w:hAnsi="Arial" w:cs="Arial"/>
          <w:color w:val="000000"/>
          <w:lang w:eastAsia="en-AU"/>
        </w:rPr>
        <w:t>, then</w:t>
      </w:r>
      <w:r w:rsidRPr="00B226E9">
        <w:rPr>
          <w:rFonts w:ascii="Arial" w:eastAsia="Times New Roman" w:hAnsi="Arial" w:cs="Arial"/>
          <w:color w:val="000000"/>
          <w:lang w:eastAsia="en-AU"/>
        </w:rPr>
        <w:t xml:space="preserve"> no such iterative process would be required.</w:t>
      </w:r>
    </w:p>
    <w:p w:rsidR="00511619" w:rsidRPr="00B226E9" w:rsidRDefault="00511619" w:rsidP="00B226E9">
      <w:pPr>
        <w:spacing w:after="0" w:line="240" w:lineRule="auto"/>
        <w:jc w:val="both"/>
        <w:rPr>
          <w:rFonts w:ascii="Arial" w:eastAsia="Times New Roman" w:hAnsi="Arial" w:cs="Arial"/>
          <w:color w:val="000000"/>
          <w:lang w:eastAsia="en-AU"/>
        </w:rPr>
      </w:pPr>
    </w:p>
    <w:p w:rsidR="002274C0" w:rsidRPr="00B226E9" w:rsidRDefault="00F1387A" w:rsidP="00B226E9">
      <w:pPr>
        <w:pStyle w:val="Default"/>
        <w:spacing w:after="120"/>
        <w:jc w:val="both"/>
        <w:rPr>
          <w:b/>
          <w:sz w:val="22"/>
          <w:szCs w:val="22"/>
        </w:rPr>
      </w:pPr>
      <w:r w:rsidRPr="00B226E9">
        <w:rPr>
          <w:b/>
          <w:sz w:val="22"/>
          <w:szCs w:val="22"/>
        </w:rPr>
        <w:t>Transparency of the buffer</w:t>
      </w:r>
    </w:p>
    <w:p w:rsidR="00F1387A" w:rsidRPr="00B226E9" w:rsidRDefault="00890986" w:rsidP="00B226E9">
      <w:pPr>
        <w:spacing w:after="0" w:line="240" w:lineRule="auto"/>
        <w:jc w:val="both"/>
        <w:rPr>
          <w:rFonts w:ascii="Arial" w:hAnsi="Arial" w:cs="Arial"/>
        </w:rPr>
      </w:pPr>
      <w:r w:rsidRPr="00B226E9">
        <w:rPr>
          <w:rFonts w:ascii="Arial" w:hAnsi="Arial" w:cs="Arial"/>
        </w:rPr>
        <w:t>Stanwell</w:t>
      </w:r>
      <w:r w:rsidR="00F1387A" w:rsidRPr="00B226E9">
        <w:rPr>
          <w:rFonts w:ascii="Arial" w:hAnsi="Arial" w:cs="Arial"/>
        </w:rPr>
        <w:t xml:space="preserve">’s response to the last consultation requested further transparency of the buffer used in the calculation process. </w:t>
      </w:r>
      <w:r w:rsidRPr="00B226E9">
        <w:rPr>
          <w:rFonts w:ascii="Arial" w:hAnsi="Arial" w:cs="Arial"/>
        </w:rPr>
        <w:t>The buffer is defined as “</w:t>
      </w:r>
      <w:r w:rsidRPr="00B226E9">
        <w:rPr>
          <w:rFonts w:ascii="Arial" w:hAnsi="Arial" w:cs="Arial"/>
          <w:i/>
        </w:rPr>
        <w:t xml:space="preserve">the factor to account for variations from the </w:t>
      </w:r>
      <w:r w:rsidR="004C7B0C" w:rsidRPr="00B226E9">
        <w:rPr>
          <w:rFonts w:ascii="Arial" w:hAnsi="Arial" w:cs="Arial"/>
          <w:i/>
        </w:rPr>
        <w:t>five</w:t>
      </w:r>
      <w:r w:rsidRPr="00B226E9">
        <w:rPr>
          <w:rFonts w:ascii="Arial" w:hAnsi="Arial" w:cs="Arial"/>
          <w:i/>
        </w:rPr>
        <w:t xml:space="preserve"> year average and/or conditions where insufficient generation exists</w:t>
      </w:r>
      <w:r w:rsidRPr="00B226E9">
        <w:rPr>
          <w:rFonts w:ascii="Arial" w:hAnsi="Arial" w:cs="Arial"/>
        </w:rPr>
        <w:t>”.</w:t>
      </w:r>
      <w:r w:rsidR="008B4B45" w:rsidRPr="00B226E9">
        <w:rPr>
          <w:rFonts w:ascii="Arial" w:hAnsi="Arial" w:cs="Arial"/>
        </w:rPr>
        <w:t xml:space="preserve"> </w:t>
      </w:r>
      <w:r w:rsidR="00F1387A" w:rsidRPr="00B226E9">
        <w:rPr>
          <w:rFonts w:ascii="Arial" w:hAnsi="Arial" w:cs="Arial"/>
        </w:rPr>
        <w:t>AEMO has responded by stating</w:t>
      </w:r>
      <w:r w:rsidR="00254A16" w:rsidRPr="00B226E9">
        <w:rPr>
          <w:rFonts w:ascii="Arial" w:hAnsi="Arial" w:cs="Arial"/>
        </w:rPr>
        <w:t>;</w:t>
      </w:r>
      <w:r w:rsidR="00F1387A" w:rsidRPr="00B226E9">
        <w:rPr>
          <w:rFonts w:ascii="Arial" w:hAnsi="Arial" w:cs="Arial"/>
        </w:rPr>
        <w:t xml:space="preserve"> “</w:t>
      </w:r>
      <w:r w:rsidR="00F1387A" w:rsidRPr="00B226E9">
        <w:rPr>
          <w:rFonts w:ascii="Arial" w:hAnsi="Arial" w:cs="Arial"/>
          <w:i/>
        </w:rPr>
        <w:t>The buffer is used to account for unforeseen circumstances. The buffer value will be published along with the indicative extrapolation results</w:t>
      </w:r>
      <w:r w:rsidR="00F1387A" w:rsidRPr="00B226E9">
        <w:rPr>
          <w:rFonts w:ascii="Arial" w:hAnsi="Arial" w:cs="Arial"/>
        </w:rPr>
        <w:t xml:space="preserve">.” </w:t>
      </w:r>
      <w:r w:rsidR="00802F88" w:rsidRPr="00B226E9">
        <w:rPr>
          <w:rFonts w:ascii="Arial" w:hAnsi="Arial" w:cs="Arial"/>
        </w:rPr>
        <w:t xml:space="preserve">Stanwell requests further explanation of the buffer. </w:t>
      </w:r>
    </w:p>
    <w:p w:rsidR="00802F88" w:rsidRPr="00B226E9" w:rsidRDefault="00802F88" w:rsidP="00B226E9">
      <w:pPr>
        <w:spacing w:after="0" w:line="240" w:lineRule="auto"/>
        <w:jc w:val="both"/>
        <w:rPr>
          <w:rFonts w:ascii="Arial" w:hAnsi="Arial" w:cs="Arial"/>
        </w:rPr>
      </w:pPr>
    </w:p>
    <w:p w:rsidR="00F1387A" w:rsidRPr="00B226E9" w:rsidRDefault="00F1387A" w:rsidP="00B226E9">
      <w:pPr>
        <w:spacing w:after="0" w:line="240" w:lineRule="auto"/>
        <w:jc w:val="both"/>
        <w:rPr>
          <w:rFonts w:ascii="Arial" w:hAnsi="Arial" w:cs="Arial"/>
        </w:rPr>
      </w:pPr>
      <w:r w:rsidRPr="00B226E9">
        <w:rPr>
          <w:rFonts w:ascii="Arial" w:hAnsi="Arial" w:cs="Arial"/>
        </w:rPr>
        <w:t xml:space="preserve">For </w:t>
      </w:r>
      <w:r w:rsidR="00802F88" w:rsidRPr="00B226E9">
        <w:rPr>
          <w:rFonts w:ascii="Arial" w:hAnsi="Arial" w:cs="Arial"/>
        </w:rPr>
        <w:t>instance</w:t>
      </w:r>
      <w:r w:rsidRPr="00B226E9">
        <w:rPr>
          <w:rFonts w:ascii="Arial" w:hAnsi="Arial" w:cs="Arial"/>
        </w:rPr>
        <w:t>, we note in the Draft Determination the example of Torrens Island Power Station used a buffer of 10</w:t>
      </w:r>
      <w:r w:rsidR="00254A16" w:rsidRPr="00B226E9">
        <w:rPr>
          <w:rFonts w:ascii="Arial" w:hAnsi="Arial" w:cs="Arial"/>
        </w:rPr>
        <w:t xml:space="preserve"> per cent</w:t>
      </w:r>
      <w:r w:rsidRPr="00B226E9">
        <w:rPr>
          <w:rFonts w:ascii="Arial" w:hAnsi="Arial" w:cs="Arial"/>
        </w:rPr>
        <w:t xml:space="preserve">. </w:t>
      </w:r>
      <w:r w:rsidR="008E4112" w:rsidRPr="00B226E9">
        <w:rPr>
          <w:rFonts w:ascii="Arial" w:hAnsi="Arial" w:cs="Arial"/>
        </w:rPr>
        <w:t>There is no indication of what the 10</w:t>
      </w:r>
      <w:r w:rsidR="00254A16" w:rsidRPr="00B226E9">
        <w:rPr>
          <w:rFonts w:ascii="Arial" w:hAnsi="Arial" w:cs="Arial"/>
        </w:rPr>
        <w:t xml:space="preserve"> per cent</w:t>
      </w:r>
      <w:r w:rsidR="008E4112" w:rsidRPr="00B226E9">
        <w:rPr>
          <w:rFonts w:ascii="Arial" w:hAnsi="Arial" w:cs="Arial"/>
        </w:rPr>
        <w:t xml:space="preserve"> buffer represents, how it was calculated or what discretion AEMO has in setting this value.  It is unclear whether</w:t>
      </w:r>
      <w:r w:rsidRPr="00B226E9">
        <w:rPr>
          <w:rFonts w:ascii="Arial" w:hAnsi="Arial" w:cs="Arial"/>
        </w:rPr>
        <w:t xml:space="preserve"> the </w:t>
      </w:r>
      <w:r w:rsidR="00802F88" w:rsidRPr="00B226E9">
        <w:rPr>
          <w:rFonts w:ascii="Arial" w:hAnsi="Arial" w:cs="Arial"/>
        </w:rPr>
        <w:t xml:space="preserve">same </w:t>
      </w:r>
      <w:r w:rsidRPr="00B226E9">
        <w:rPr>
          <w:rFonts w:ascii="Arial" w:hAnsi="Arial" w:cs="Arial"/>
        </w:rPr>
        <w:t xml:space="preserve">buffer </w:t>
      </w:r>
      <w:r w:rsidR="00802F88" w:rsidRPr="00B226E9">
        <w:rPr>
          <w:rFonts w:ascii="Arial" w:hAnsi="Arial" w:cs="Arial"/>
        </w:rPr>
        <w:t xml:space="preserve">used for </w:t>
      </w:r>
      <w:r w:rsidRPr="00B226E9">
        <w:rPr>
          <w:rFonts w:ascii="Arial" w:hAnsi="Arial" w:cs="Arial"/>
        </w:rPr>
        <w:t>all generators</w:t>
      </w:r>
      <w:r w:rsidR="00802F88" w:rsidRPr="00B226E9">
        <w:rPr>
          <w:rFonts w:ascii="Arial" w:hAnsi="Arial" w:cs="Arial"/>
        </w:rPr>
        <w:t xml:space="preserve"> in the same year</w:t>
      </w:r>
      <w:r w:rsidR="008E4112" w:rsidRPr="00B226E9">
        <w:rPr>
          <w:rFonts w:ascii="Arial" w:hAnsi="Arial" w:cs="Arial"/>
        </w:rPr>
        <w:t xml:space="preserve"> or region.</w:t>
      </w:r>
      <w:r w:rsidR="00802F88" w:rsidRPr="00B226E9">
        <w:rPr>
          <w:rFonts w:ascii="Arial" w:hAnsi="Arial" w:cs="Arial"/>
        </w:rPr>
        <w:t xml:space="preserve"> Unexplained factors as large as 10</w:t>
      </w:r>
      <w:r w:rsidR="00254A16" w:rsidRPr="00B226E9">
        <w:rPr>
          <w:rFonts w:ascii="Arial" w:hAnsi="Arial" w:cs="Arial"/>
        </w:rPr>
        <w:t xml:space="preserve"> per cent, </w:t>
      </w:r>
      <w:r w:rsidR="00802F88" w:rsidRPr="00B226E9">
        <w:rPr>
          <w:rFonts w:ascii="Arial" w:hAnsi="Arial" w:cs="Arial"/>
        </w:rPr>
        <w:t>or higher</w:t>
      </w:r>
      <w:r w:rsidR="00254A16" w:rsidRPr="00B226E9">
        <w:rPr>
          <w:rFonts w:ascii="Arial" w:hAnsi="Arial" w:cs="Arial"/>
        </w:rPr>
        <w:t>,</w:t>
      </w:r>
      <w:r w:rsidR="00802F88" w:rsidRPr="00B226E9">
        <w:rPr>
          <w:rFonts w:ascii="Arial" w:hAnsi="Arial" w:cs="Arial"/>
        </w:rPr>
        <w:t xml:space="preserve"> render almost meaningless participants’ detailed consideration of the methodology.</w:t>
      </w:r>
    </w:p>
    <w:p w:rsidR="007B5121" w:rsidRPr="00B226E9" w:rsidRDefault="007B5121" w:rsidP="00B226E9">
      <w:pPr>
        <w:spacing w:after="0" w:line="240" w:lineRule="auto"/>
        <w:jc w:val="both"/>
        <w:rPr>
          <w:rFonts w:ascii="Arial" w:hAnsi="Arial" w:cs="Arial"/>
        </w:rPr>
      </w:pPr>
    </w:p>
    <w:p w:rsidR="00FD0AE5" w:rsidRPr="00B226E9" w:rsidRDefault="00C82B54" w:rsidP="00B226E9">
      <w:pPr>
        <w:pStyle w:val="ListParagraph"/>
        <w:spacing w:after="0" w:line="240" w:lineRule="auto"/>
        <w:ind w:left="0"/>
        <w:jc w:val="both"/>
        <w:rPr>
          <w:rFonts w:ascii="Arial" w:hAnsi="Arial" w:cs="Arial"/>
        </w:rPr>
      </w:pPr>
      <w:r w:rsidRPr="00B226E9">
        <w:rPr>
          <w:rFonts w:ascii="Arial" w:hAnsi="Arial" w:cs="Arial"/>
        </w:rPr>
        <w:t xml:space="preserve">Thank you for </w:t>
      </w:r>
      <w:r w:rsidR="00547BFE" w:rsidRPr="00B226E9">
        <w:rPr>
          <w:rFonts w:ascii="Arial" w:hAnsi="Arial" w:cs="Arial"/>
        </w:rPr>
        <w:t xml:space="preserve">consideration of Stanwell’s response to </w:t>
      </w:r>
      <w:r w:rsidR="00D06B45" w:rsidRPr="00B226E9">
        <w:rPr>
          <w:rFonts w:ascii="Arial" w:hAnsi="Arial" w:cs="Arial"/>
        </w:rPr>
        <w:t xml:space="preserve">the </w:t>
      </w:r>
      <w:r w:rsidR="00756C4F" w:rsidRPr="00B226E9">
        <w:rPr>
          <w:rFonts w:ascii="Arial" w:hAnsi="Arial" w:cs="Arial"/>
        </w:rPr>
        <w:t xml:space="preserve">Forward Looking Loss Factor Calculation </w:t>
      </w:r>
      <w:r w:rsidR="00756C4F" w:rsidRPr="00B226E9">
        <w:rPr>
          <w:rFonts w:ascii="Arial" w:eastAsia="PMingLiU" w:hAnsi="Arial" w:cs="Arial"/>
          <w:lang w:eastAsia="zh-HK"/>
        </w:rPr>
        <w:t xml:space="preserve">Methodology </w:t>
      </w:r>
      <w:r w:rsidR="00802F88" w:rsidRPr="00B226E9">
        <w:rPr>
          <w:rFonts w:ascii="Arial" w:eastAsia="PMingLiU" w:hAnsi="Arial" w:cs="Arial"/>
          <w:lang w:eastAsia="zh-HK"/>
        </w:rPr>
        <w:t>Draft Report and Determination</w:t>
      </w:r>
      <w:r w:rsidR="00756C4F" w:rsidRPr="00B226E9">
        <w:rPr>
          <w:rFonts w:ascii="Arial" w:eastAsia="PMingLiU" w:hAnsi="Arial" w:cs="Arial"/>
          <w:lang w:eastAsia="zh-HK"/>
        </w:rPr>
        <w:t xml:space="preserve"> 2016</w:t>
      </w:r>
      <w:r w:rsidRPr="00B226E9">
        <w:rPr>
          <w:rFonts w:ascii="Arial" w:hAnsi="Arial" w:cs="Arial"/>
        </w:rPr>
        <w:t xml:space="preserve">. </w:t>
      </w:r>
      <w:r w:rsidR="00547BFE" w:rsidRPr="00B226E9">
        <w:rPr>
          <w:rFonts w:ascii="Arial" w:hAnsi="Arial" w:cs="Arial"/>
        </w:rPr>
        <w:t xml:space="preserve">If you would like to discuss any aspect of this submission, please contact </w:t>
      </w:r>
      <w:r w:rsidR="00756C4F" w:rsidRPr="00B226E9">
        <w:rPr>
          <w:rFonts w:ascii="Arial" w:eastAsia="PMingLiU" w:hAnsi="Arial" w:cs="Arial"/>
          <w:lang w:eastAsia="zh-HK"/>
        </w:rPr>
        <w:t>Win Arefta</w:t>
      </w:r>
      <w:r w:rsidR="00756C4F" w:rsidRPr="00B226E9">
        <w:rPr>
          <w:rFonts w:ascii="Arial" w:hAnsi="Arial" w:cs="Arial"/>
        </w:rPr>
        <w:t xml:space="preserve"> </w:t>
      </w:r>
      <w:r w:rsidR="00547BFE" w:rsidRPr="00B226E9">
        <w:rPr>
          <w:rFonts w:ascii="Arial" w:hAnsi="Arial" w:cs="Arial"/>
        </w:rPr>
        <w:t xml:space="preserve">on </w:t>
      </w:r>
      <w:r w:rsidR="00C24FE4" w:rsidRPr="00B226E9">
        <w:rPr>
          <w:rFonts w:ascii="Arial" w:hAnsi="Arial" w:cs="Arial"/>
        </w:rPr>
        <w:t xml:space="preserve">07 </w:t>
      </w:r>
      <w:r w:rsidR="00D06B45" w:rsidRPr="00B226E9">
        <w:rPr>
          <w:rFonts w:ascii="Arial" w:eastAsia="PMingLiU" w:hAnsi="Arial" w:cs="Arial"/>
          <w:lang w:eastAsia="zh-HK"/>
        </w:rPr>
        <w:t>3335</w:t>
      </w:r>
      <w:r w:rsidR="00C24FE4" w:rsidRPr="00B226E9">
        <w:rPr>
          <w:rFonts w:ascii="Arial" w:hAnsi="Arial" w:cs="Arial"/>
        </w:rPr>
        <w:t xml:space="preserve"> </w:t>
      </w:r>
      <w:r w:rsidR="00D06B45" w:rsidRPr="00B226E9">
        <w:rPr>
          <w:rFonts w:ascii="Arial" w:eastAsia="PMingLiU" w:hAnsi="Arial" w:cs="Arial"/>
          <w:lang w:eastAsia="zh-HK"/>
        </w:rPr>
        <w:t>7202</w:t>
      </w:r>
      <w:r w:rsidR="004E64DA" w:rsidRPr="00B226E9">
        <w:rPr>
          <w:rFonts w:ascii="Arial" w:eastAsia="PMingLiU" w:hAnsi="Arial" w:cs="Arial"/>
          <w:lang w:eastAsia="zh-HK"/>
        </w:rPr>
        <w:t xml:space="preserve"> or Jennifer Tarr on 07 3228 4546</w:t>
      </w:r>
      <w:r w:rsidR="00A3359F" w:rsidRPr="00B226E9">
        <w:rPr>
          <w:rFonts w:ascii="Arial" w:hAnsi="Arial" w:cs="Arial"/>
        </w:rPr>
        <w:t>.</w:t>
      </w:r>
    </w:p>
    <w:p w:rsidR="00FD0AE5" w:rsidRPr="00B226E9" w:rsidRDefault="00FD0AE5">
      <w:pPr>
        <w:pStyle w:val="ListParagraph"/>
        <w:spacing w:after="0"/>
        <w:ind w:left="0"/>
        <w:jc w:val="both"/>
        <w:rPr>
          <w:rFonts w:ascii="Arial" w:hAnsi="Arial" w:cs="Arial"/>
        </w:rPr>
      </w:pPr>
    </w:p>
    <w:p w:rsidR="00FD0AE5" w:rsidRPr="00B226E9" w:rsidRDefault="00511619">
      <w:pPr>
        <w:pStyle w:val="ListParagraph"/>
        <w:spacing w:after="0"/>
        <w:ind w:left="0"/>
        <w:jc w:val="both"/>
        <w:rPr>
          <w:rFonts w:ascii="Arial" w:hAnsi="Arial" w:cs="Arial"/>
        </w:rPr>
      </w:pPr>
      <w:r>
        <w:rPr>
          <w:rFonts w:ascii="Arial" w:hAnsi="Arial" w:cs="Arial"/>
        </w:rPr>
        <w:t>Yours sincerely</w:t>
      </w:r>
    </w:p>
    <w:p w:rsidR="00FD0AE5" w:rsidRPr="00B226E9" w:rsidRDefault="00FD0AE5" w:rsidP="00B226E9">
      <w:pPr>
        <w:pStyle w:val="ListParagraph"/>
        <w:spacing w:after="0"/>
        <w:ind w:left="0"/>
        <w:jc w:val="both"/>
        <w:rPr>
          <w:rFonts w:ascii="Arial" w:hAnsi="Arial" w:cs="Arial"/>
        </w:rPr>
      </w:pPr>
    </w:p>
    <w:p w:rsidR="00FD0AE5" w:rsidRPr="00B226E9" w:rsidRDefault="00FD0AE5" w:rsidP="00B226E9">
      <w:pPr>
        <w:pStyle w:val="ListParagraph"/>
        <w:spacing w:after="0"/>
        <w:ind w:left="0"/>
        <w:jc w:val="both"/>
        <w:rPr>
          <w:rFonts w:ascii="Arial" w:hAnsi="Arial" w:cs="Arial"/>
        </w:rPr>
      </w:pPr>
    </w:p>
    <w:p w:rsidR="008D72AC" w:rsidRPr="00B226E9" w:rsidRDefault="008D72AC" w:rsidP="00B226E9">
      <w:pPr>
        <w:pStyle w:val="ListParagraph"/>
        <w:spacing w:after="0"/>
        <w:ind w:left="0"/>
        <w:jc w:val="both"/>
        <w:rPr>
          <w:rFonts w:ascii="Arial" w:hAnsi="Arial" w:cs="Arial"/>
        </w:rPr>
      </w:pPr>
    </w:p>
    <w:p w:rsidR="008D72AC" w:rsidRPr="00B226E9" w:rsidRDefault="008D72AC" w:rsidP="00B226E9">
      <w:pPr>
        <w:pStyle w:val="ListParagraph"/>
        <w:spacing w:after="0"/>
        <w:ind w:left="0"/>
        <w:jc w:val="both"/>
        <w:rPr>
          <w:rFonts w:ascii="Arial" w:hAnsi="Arial" w:cs="Arial"/>
        </w:rPr>
      </w:pPr>
    </w:p>
    <w:p w:rsidR="00FD0AE5" w:rsidRPr="00B226E9" w:rsidRDefault="004E64DA" w:rsidP="00B226E9">
      <w:pPr>
        <w:pStyle w:val="ListParagraph"/>
        <w:spacing w:after="0" w:line="240" w:lineRule="auto"/>
        <w:ind w:left="0"/>
        <w:jc w:val="both"/>
        <w:rPr>
          <w:rFonts w:ascii="Arial" w:eastAsia="PMingLiU" w:hAnsi="Arial" w:cs="Arial"/>
          <w:b/>
          <w:lang w:eastAsia="zh-HK"/>
        </w:rPr>
      </w:pPr>
      <w:r w:rsidRPr="00B226E9">
        <w:rPr>
          <w:rFonts w:ascii="Arial" w:eastAsia="PMingLiU" w:hAnsi="Arial" w:cs="Arial"/>
          <w:b/>
          <w:lang w:eastAsia="zh-HK"/>
        </w:rPr>
        <w:t>Luke Van Boeckel</w:t>
      </w:r>
    </w:p>
    <w:p w:rsidR="00756C4F" w:rsidRPr="00B226E9" w:rsidRDefault="004E64DA" w:rsidP="00B226E9">
      <w:pPr>
        <w:pStyle w:val="ListParagraph"/>
        <w:spacing w:after="0" w:line="240" w:lineRule="auto"/>
        <w:ind w:left="0"/>
        <w:jc w:val="both"/>
        <w:rPr>
          <w:rFonts w:ascii="Arial" w:eastAsia="PMingLiU" w:hAnsi="Arial" w:cs="Arial"/>
          <w:b/>
          <w:lang w:eastAsia="zh-HK"/>
        </w:rPr>
      </w:pPr>
      <w:r w:rsidRPr="00B226E9">
        <w:rPr>
          <w:rFonts w:ascii="Arial" w:eastAsia="PMingLiU" w:hAnsi="Arial" w:cs="Arial"/>
          <w:b/>
          <w:lang w:eastAsia="zh-HK"/>
        </w:rPr>
        <w:t>Manager Regulatory Strategy</w:t>
      </w:r>
    </w:p>
    <w:p w:rsidR="008E72C5" w:rsidRPr="00B226E9" w:rsidRDefault="00FD0AE5" w:rsidP="00B226E9">
      <w:pPr>
        <w:pStyle w:val="ListParagraph"/>
        <w:spacing w:after="0" w:line="240" w:lineRule="auto"/>
        <w:ind w:left="0"/>
        <w:jc w:val="both"/>
        <w:rPr>
          <w:rFonts w:ascii="Arial" w:hAnsi="Arial" w:cs="Arial"/>
        </w:rPr>
      </w:pPr>
      <w:r w:rsidRPr="00B226E9">
        <w:rPr>
          <w:rFonts w:ascii="Arial" w:hAnsi="Arial" w:cs="Arial"/>
          <w:b/>
        </w:rPr>
        <w:t>Energy Trading and Commercial Strategy</w:t>
      </w:r>
    </w:p>
    <w:sectPr w:rsidR="008E72C5" w:rsidRPr="00B226E9" w:rsidSect="00F229E7">
      <w:footerReference w:type="default" r:id="rId11"/>
      <w:headerReference w:type="first" r:id="rId12"/>
      <w:footerReference w:type="first" r:id="rId13"/>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3A5" w:rsidRDefault="00F603A5" w:rsidP="00F229E7">
      <w:pPr>
        <w:spacing w:after="0" w:line="240" w:lineRule="auto"/>
      </w:pPr>
      <w:r>
        <w:separator/>
      </w:r>
    </w:p>
  </w:endnote>
  <w:endnote w:type="continuationSeparator" w:id="0">
    <w:p w:rsidR="00F603A5" w:rsidRDefault="00F603A5" w:rsidP="00F2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1DF" w:rsidRPr="00B226E9" w:rsidRDefault="002D41DF" w:rsidP="00B226E9">
    <w:pPr>
      <w:pStyle w:val="Footer"/>
      <w:jc w:val="right"/>
      <w:rPr>
        <w:rFonts w:ascii="Arial" w:hAnsi="Arial" w:cs="Arial"/>
        <w:sz w:val="20"/>
        <w:szCs w:val="20"/>
      </w:rPr>
    </w:pPr>
    <w:r w:rsidRPr="00B226E9">
      <w:rPr>
        <w:rFonts w:ascii="Arial" w:hAnsi="Arial" w:cs="Arial"/>
        <w:sz w:val="20"/>
        <w:szCs w:val="20"/>
      </w:rPr>
      <w:fldChar w:fldCharType="begin"/>
    </w:r>
    <w:r w:rsidRPr="00B226E9">
      <w:rPr>
        <w:rFonts w:ascii="Arial" w:hAnsi="Arial" w:cs="Arial"/>
        <w:sz w:val="20"/>
        <w:szCs w:val="20"/>
      </w:rPr>
      <w:instrText xml:space="preserve"> PAGE   \* MERGEFORMAT </w:instrText>
    </w:r>
    <w:r w:rsidRPr="00B226E9">
      <w:rPr>
        <w:rFonts w:ascii="Arial" w:hAnsi="Arial" w:cs="Arial"/>
        <w:sz w:val="20"/>
        <w:szCs w:val="20"/>
      </w:rPr>
      <w:fldChar w:fldCharType="separate"/>
    </w:r>
    <w:r w:rsidR="00F666B3">
      <w:rPr>
        <w:rFonts w:ascii="Arial" w:hAnsi="Arial" w:cs="Arial"/>
        <w:noProof/>
        <w:sz w:val="20"/>
        <w:szCs w:val="20"/>
      </w:rPr>
      <w:t>4</w:t>
    </w:r>
    <w:r w:rsidRPr="00B226E9">
      <w:rPr>
        <w:rFonts w:ascii="Arial" w:hAnsi="Arial" w:cs="Arial"/>
        <w:noProof/>
        <w:sz w:val="20"/>
        <w:szCs w:val="20"/>
      </w:rPr>
      <w:fldChar w:fldCharType="end"/>
    </w:r>
  </w:p>
  <w:p w:rsidR="002D41DF" w:rsidRDefault="002D4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E7" w:rsidRDefault="009D4D56">
    <w:pPr>
      <w:pStyle w:val="Footer"/>
    </w:pPr>
    <w:r>
      <w:rPr>
        <w:noProof/>
        <w:lang w:eastAsia="en-AU"/>
      </w:rPr>
      <w:drawing>
        <wp:anchor distT="0" distB="0" distL="114300" distR="114300" simplePos="0" relativeHeight="251659776" behindDoc="1" locked="0" layoutInCell="1" allowOverlap="1">
          <wp:simplePos x="0" y="0"/>
          <wp:positionH relativeFrom="column">
            <wp:posOffset>-876300</wp:posOffset>
          </wp:positionH>
          <wp:positionV relativeFrom="paragraph">
            <wp:posOffset>-179070</wp:posOffset>
          </wp:positionV>
          <wp:extent cx="7523480" cy="10401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04013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7728" behindDoc="1" locked="0" layoutInCell="1" allowOverlap="1">
          <wp:simplePos x="0" y="0"/>
          <wp:positionH relativeFrom="column">
            <wp:posOffset>-21590</wp:posOffset>
          </wp:positionH>
          <wp:positionV relativeFrom="paragraph">
            <wp:posOffset>9651365</wp:posOffset>
          </wp:positionV>
          <wp:extent cx="7523480" cy="1040130"/>
          <wp:effectExtent l="0" t="0" r="127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04013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6704" behindDoc="1" locked="0" layoutInCell="1" allowOverlap="1">
          <wp:simplePos x="0" y="0"/>
          <wp:positionH relativeFrom="column">
            <wp:posOffset>-21590</wp:posOffset>
          </wp:positionH>
          <wp:positionV relativeFrom="paragraph">
            <wp:posOffset>9651365</wp:posOffset>
          </wp:positionV>
          <wp:extent cx="7523480" cy="1040130"/>
          <wp:effectExtent l="0" t="0" r="1270" b="762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04013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752" behindDoc="1" locked="0" layoutInCell="1" allowOverlap="1">
          <wp:simplePos x="0" y="0"/>
          <wp:positionH relativeFrom="column">
            <wp:posOffset>-21590</wp:posOffset>
          </wp:positionH>
          <wp:positionV relativeFrom="paragraph">
            <wp:posOffset>9651365</wp:posOffset>
          </wp:positionV>
          <wp:extent cx="7523480" cy="1040130"/>
          <wp:effectExtent l="0" t="0" r="127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104013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3A5" w:rsidRDefault="00F603A5" w:rsidP="00F229E7">
      <w:pPr>
        <w:spacing w:after="0" w:line="240" w:lineRule="auto"/>
      </w:pPr>
      <w:r>
        <w:separator/>
      </w:r>
    </w:p>
  </w:footnote>
  <w:footnote w:type="continuationSeparator" w:id="0">
    <w:p w:rsidR="00F603A5" w:rsidRDefault="00F603A5" w:rsidP="00F229E7">
      <w:pPr>
        <w:spacing w:after="0" w:line="240" w:lineRule="auto"/>
      </w:pPr>
      <w:r>
        <w:continuationSeparator/>
      </w:r>
    </w:p>
  </w:footnote>
  <w:footnote w:id="1">
    <w:p w:rsidR="00BC3E34" w:rsidRPr="00B226E9" w:rsidRDefault="00BC3E34" w:rsidP="00511619">
      <w:pPr>
        <w:pStyle w:val="FootnoteText"/>
        <w:spacing w:after="0"/>
        <w:rPr>
          <w:rFonts w:ascii="Arial" w:hAnsi="Arial" w:cs="Arial"/>
          <w:sz w:val="18"/>
          <w:szCs w:val="18"/>
        </w:rPr>
      </w:pPr>
      <w:r w:rsidRPr="00B226E9">
        <w:rPr>
          <w:rStyle w:val="FootnoteReference"/>
          <w:rFonts w:ascii="Arial" w:hAnsi="Arial" w:cs="Arial"/>
          <w:sz w:val="18"/>
          <w:szCs w:val="18"/>
        </w:rPr>
        <w:footnoteRef/>
      </w:r>
      <w:r w:rsidRPr="00B226E9">
        <w:rPr>
          <w:rFonts w:ascii="Arial" w:hAnsi="Arial" w:cs="Arial"/>
          <w:sz w:val="18"/>
          <w:szCs w:val="18"/>
        </w:rPr>
        <w:t xml:space="preserve"> Clause 3.7.2(d), National Electricity Rules</w:t>
      </w:r>
    </w:p>
  </w:footnote>
  <w:footnote w:id="2">
    <w:p w:rsidR="00BC3E34" w:rsidRPr="00B226E9" w:rsidRDefault="00BC3E34">
      <w:pPr>
        <w:pStyle w:val="FootnoteText"/>
        <w:spacing w:after="0"/>
        <w:rPr>
          <w:rFonts w:ascii="Arial" w:hAnsi="Arial" w:cs="Arial"/>
          <w:sz w:val="18"/>
          <w:szCs w:val="18"/>
        </w:rPr>
      </w:pPr>
      <w:r w:rsidRPr="00B226E9">
        <w:rPr>
          <w:rStyle w:val="FootnoteReference"/>
          <w:rFonts w:ascii="Arial" w:hAnsi="Arial" w:cs="Arial"/>
          <w:sz w:val="18"/>
          <w:szCs w:val="18"/>
        </w:rPr>
        <w:footnoteRef/>
      </w:r>
      <w:r w:rsidRPr="00B226E9">
        <w:rPr>
          <w:rFonts w:ascii="Arial" w:hAnsi="Arial" w:cs="Arial"/>
          <w:sz w:val="18"/>
          <w:szCs w:val="18"/>
        </w:rPr>
        <w:t xml:space="preserve"> Page 7, AER Compliance Bulletin No. 2</w:t>
      </w:r>
    </w:p>
  </w:footnote>
  <w:footnote w:id="3">
    <w:p w:rsidR="00BC3E34" w:rsidRPr="00B226E9" w:rsidRDefault="00BC3E34" w:rsidP="00B226E9">
      <w:pPr>
        <w:pStyle w:val="FootnoteText"/>
        <w:spacing w:after="0"/>
        <w:rPr>
          <w:rFonts w:ascii="Arial" w:hAnsi="Arial" w:cs="Arial"/>
          <w:sz w:val="18"/>
          <w:szCs w:val="18"/>
        </w:rPr>
      </w:pPr>
      <w:r w:rsidRPr="00B226E9">
        <w:rPr>
          <w:rStyle w:val="FootnoteReference"/>
          <w:rFonts w:ascii="Arial" w:hAnsi="Arial" w:cs="Arial"/>
          <w:sz w:val="18"/>
          <w:szCs w:val="18"/>
        </w:rPr>
        <w:footnoteRef/>
      </w:r>
      <w:r w:rsidRPr="00B226E9">
        <w:rPr>
          <w:rFonts w:ascii="Arial" w:hAnsi="Arial" w:cs="Arial"/>
          <w:sz w:val="18"/>
          <w:szCs w:val="18"/>
        </w:rPr>
        <w:t xml:space="preserve"> Page 11, Quarterly Compliance Report July - September 2015, AER</w:t>
      </w:r>
    </w:p>
  </w:footnote>
  <w:footnote w:id="4">
    <w:p w:rsidR="00F3187A" w:rsidRPr="00B226E9" w:rsidRDefault="00F3187A">
      <w:pPr>
        <w:pStyle w:val="FootnoteText"/>
        <w:spacing w:after="0"/>
        <w:rPr>
          <w:rFonts w:ascii="Arial" w:hAnsi="Arial" w:cs="Arial"/>
          <w:sz w:val="18"/>
          <w:szCs w:val="18"/>
        </w:rPr>
      </w:pPr>
      <w:r w:rsidRPr="00B226E9">
        <w:rPr>
          <w:rStyle w:val="FootnoteReference"/>
          <w:rFonts w:ascii="Arial" w:hAnsi="Arial" w:cs="Arial"/>
          <w:sz w:val="18"/>
          <w:szCs w:val="18"/>
        </w:rPr>
        <w:footnoteRef/>
      </w:r>
      <w:r w:rsidRPr="00B226E9">
        <w:rPr>
          <w:rFonts w:ascii="Arial" w:hAnsi="Arial" w:cs="Arial"/>
          <w:sz w:val="18"/>
          <w:szCs w:val="18"/>
        </w:rPr>
        <w:t xml:space="preserve"> Page 12, Draft Determination</w:t>
      </w:r>
    </w:p>
  </w:footnote>
  <w:footnote w:id="5">
    <w:p w:rsidR="006E7323" w:rsidRPr="00B226E9" w:rsidRDefault="006E7323">
      <w:pPr>
        <w:pStyle w:val="FootnoteText"/>
        <w:spacing w:after="0"/>
        <w:rPr>
          <w:rFonts w:ascii="Arial" w:hAnsi="Arial" w:cs="Arial"/>
          <w:sz w:val="18"/>
          <w:szCs w:val="18"/>
        </w:rPr>
      </w:pPr>
      <w:r w:rsidRPr="00B226E9">
        <w:rPr>
          <w:rStyle w:val="FootnoteReference"/>
          <w:rFonts w:ascii="Arial" w:hAnsi="Arial" w:cs="Arial"/>
          <w:sz w:val="18"/>
          <w:szCs w:val="18"/>
        </w:rPr>
        <w:footnoteRef/>
      </w:r>
      <w:r w:rsidRPr="00B226E9">
        <w:rPr>
          <w:rFonts w:ascii="Arial" w:hAnsi="Arial" w:cs="Arial"/>
          <w:sz w:val="18"/>
          <w:szCs w:val="18"/>
        </w:rPr>
        <w:t xml:space="preserve"> Page 12, Draft Determination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E7" w:rsidRDefault="009D4D56">
    <w:pPr>
      <w:pStyle w:val="Header"/>
    </w:pPr>
    <w:r>
      <w:rPr>
        <w:noProof/>
        <w:lang w:eastAsia="en-AU"/>
      </w:rPr>
      <w:drawing>
        <wp:anchor distT="0" distB="0" distL="114300" distR="114300" simplePos="0" relativeHeight="251655680" behindDoc="1" locked="0" layoutInCell="1" allowOverlap="1">
          <wp:simplePos x="0" y="0"/>
          <wp:positionH relativeFrom="column">
            <wp:posOffset>-923925</wp:posOffset>
          </wp:positionH>
          <wp:positionV relativeFrom="paragraph">
            <wp:posOffset>-514350</wp:posOffset>
          </wp:positionV>
          <wp:extent cx="7538085" cy="1288415"/>
          <wp:effectExtent l="0" t="0" r="571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2884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23B"/>
    <w:multiLevelType w:val="hybridMultilevel"/>
    <w:tmpl w:val="E60C0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A73DD8"/>
    <w:multiLevelType w:val="hybridMultilevel"/>
    <w:tmpl w:val="B30C6052"/>
    <w:lvl w:ilvl="0" w:tplc="B9708E3C">
      <w:start w:val="1"/>
      <w:numFmt w:val="decimal"/>
      <w:pStyle w:val="StanwellHeading1"/>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01349B"/>
    <w:multiLevelType w:val="hybridMultilevel"/>
    <w:tmpl w:val="C6B4A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43F647B"/>
    <w:multiLevelType w:val="hybridMultilevel"/>
    <w:tmpl w:val="542CA6D0"/>
    <w:lvl w:ilvl="0" w:tplc="E456528A">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C87BA1"/>
    <w:multiLevelType w:val="hybridMultilevel"/>
    <w:tmpl w:val="2D325B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6930389"/>
    <w:multiLevelType w:val="hybridMultilevel"/>
    <w:tmpl w:val="16B6A8C8"/>
    <w:lvl w:ilvl="0" w:tplc="DA8A90CA">
      <w:start w:val="1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B911B9"/>
    <w:multiLevelType w:val="hybridMultilevel"/>
    <w:tmpl w:val="0E1CA6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AC508E5"/>
    <w:multiLevelType w:val="hybridMultilevel"/>
    <w:tmpl w:val="C9C07A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8E019EC"/>
    <w:multiLevelType w:val="hybridMultilevel"/>
    <w:tmpl w:val="D07A8052"/>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955253D"/>
    <w:multiLevelType w:val="hybridMultilevel"/>
    <w:tmpl w:val="7F1CB5BE"/>
    <w:lvl w:ilvl="0" w:tplc="A9C68194">
      <w:start w:val="1"/>
      <w:numFmt w:val="decimal"/>
      <w:pStyle w:val="StanwellHeading2"/>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CF6485"/>
    <w:multiLevelType w:val="hybridMultilevel"/>
    <w:tmpl w:val="0240B432"/>
    <w:lvl w:ilvl="0" w:tplc="1B70E788">
      <w:start w:val="26"/>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65C0D1E"/>
    <w:multiLevelType w:val="hybridMultilevel"/>
    <w:tmpl w:val="5EC66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0412013"/>
    <w:multiLevelType w:val="hybridMultilevel"/>
    <w:tmpl w:val="5F743C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nsid w:val="50657DFC"/>
    <w:multiLevelType w:val="hybridMultilevel"/>
    <w:tmpl w:val="5BE03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325E28"/>
    <w:multiLevelType w:val="hybridMultilevel"/>
    <w:tmpl w:val="5100FE1E"/>
    <w:lvl w:ilvl="0" w:tplc="A62A43A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BDF3AB1"/>
    <w:multiLevelType w:val="hybridMultilevel"/>
    <w:tmpl w:val="A1302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820061"/>
    <w:multiLevelType w:val="hybridMultilevel"/>
    <w:tmpl w:val="7BD891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62A05431"/>
    <w:multiLevelType w:val="hybridMultilevel"/>
    <w:tmpl w:val="46EAE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E619E3"/>
    <w:multiLevelType w:val="hybridMultilevel"/>
    <w:tmpl w:val="81E4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72F3AE5"/>
    <w:multiLevelType w:val="hybridMultilevel"/>
    <w:tmpl w:val="BED0E00E"/>
    <w:lvl w:ilvl="0" w:tplc="32DED6EC">
      <w:start w:val="16"/>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20E41F2"/>
    <w:multiLevelType w:val="hybridMultilevel"/>
    <w:tmpl w:val="8744AB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3E037CD"/>
    <w:multiLevelType w:val="hybridMultilevel"/>
    <w:tmpl w:val="3B7440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9"/>
  </w:num>
  <w:num w:numId="6">
    <w:abstractNumId w:val="10"/>
  </w:num>
  <w:num w:numId="7">
    <w:abstractNumId w:val="17"/>
  </w:num>
  <w:num w:numId="8">
    <w:abstractNumId w:val="4"/>
  </w:num>
  <w:num w:numId="9">
    <w:abstractNumId w:val="21"/>
  </w:num>
  <w:num w:numId="10">
    <w:abstractNumId w:val="15"/>
  </w:num>
  <w:num w:numId="11">
    <w:abstractNumId w:val="0"/>
  </w:num>
  <w:num w:numId="12">
    <w:abstractNumId w:val="2"/>
  </w:num>
  <w:num w:numId="13">
    <w:abstractNumId w:val="13"/>
  </w:num>
  <w:num w:numId="14">
    <w:abstractNumId w:val="16"/>
  </w:num>
  <w:num w:numId="15">
    <w:abstractNumId w:val="7"/>
  </w:num>
  <w:num w:numId="16">
    <w:abstractNumId w:val="20"/>
  </w:num>
  <w:num w:numId="17">
    <w:abstractNumId w:val="3"/>
  </w:num>
  <w:num w:numId="18">
    <w:abstractNumId w:val="8"/>
  </w:num>
  <w:num w:numId="19">
    <w:abstractNumId w:val="1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4"/>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51"/>
    <w:rsid w:val="0000532A"/>
    <w:rsid w:val="0001702A"/>
    <w:rsid w:val="00017B2D"/>
    <w:rsid w:val="00027666"/>
    <w:rsid w:val="00027D4C"/>
    <w:rsid w:val="0003011C"/>
    <w:rsid w:val="000373CB"/>
    <w:rsid w:val="00040AE7"/>
    <w:rsid w:val="00045067"/>
    <w:rsid w:val="00063958"/>
    <w:rsid w:val="00065862"/>
    <w:rsid w:val="00067E9D"/>
    <w:rsid w:val="0007187C"/>
    <w:rsid w:val="00082553"/>
    <w:rsid w:val="00083C64"/>
    <w:rsid w:val="00093B10"/>
    <w:rsid w:val="00096120"/>
    <w:rsid w:val="000965D8"/>
    <w:rsid w:val="000B101D"/>
    <w:rsid w:val="000B21B1"/>
    <w:rsid w:val="000B45F5"/>
    <w:rsid w:val="000B69FA"/>
    <w:rsid w:val="000C5131"/>
    <w:rsid w:val="000C5CE6"/>
    <w:rsid w:val="000C5EDF"/>
    <w:rsid w:val="000D0F1F"/>
    <w:rsid w:val="000E5115"/>
    <w:rsid w:val="0010177B"/>
    <w:rsid w:val="00103AF5"/>
    <w:rsid w:val="00107797"/>
    <w:rsid w:val="00115546"/>
    <w:rsid w:val="00115CF0"/>
    <w:rsid w:val="001214DB"/>
    <w:rsid w:val="00133424"/>
    <w:rsid w:val="0014009D"/>
    <w:rsid w:val="00142AE2"/>
    <w:rsid w:val="001509EF"/>
    <w:rsid w:val="00155AFE"/>
    <w:rsid w:val="00164F96"/>
    <w:rsid w:val="0016507F"/>
    <w:rsid w:val="00170B3F"/>
    <w:rsid w:val="001758F1"/>
    <w:rsid w:val="00186113"/>
    <w:rsid w:val="00196833"/>
    <w:rsid w:val="001A2004"/>
    <w:rsid w:val="001A3F79"/>
    <w:rsid w:val="001A7635"/>
    <w:rsid w:val="001B0531"/>
    <w:rsid w:val="001C35F4"/>
    <w:rsid w:val="001D1F5C"/>
    <w:rsid w:val="001D470C"/>
    <w:rsid w:val="001D7C9D"/>
    <w:rsid w:val="001E0D5A"/>
    <w:rsid w:val="001E1DE1"/>
    <w:rsid w:val="001E6296"/>
    <w:rsid w:val="002001CD"/>
    <w:rsid w:val="002004A7"/>
    <w:rsid w:val="00200D3B"/>
    <w:rsid w:val="00202294"/>
    <w:rsid w:val="00210EC6"/>
    <w:rsid w:val="002122B9"/>
    <w:rsid w:val="00213935"/>
    <w:rsid w:val="00220326"/>
    <w:rsid w:val="00222104"/>
    <w:rsid w:val="0022275D"/>
    <w:rsid w:val="002244B2"/>
    <w:rsid w:val="002274C0"/>
    <w:rsid w:val="00232936"/>
    <w:rsid w:val="00234457"/>
    <w:rsid w:val="00237A83"/>
    <w:rsid w:val="00237E47"/>
    <w:rsid w:val="00240674"/>
    <w:rsid w:val="00240747"/>
    <w:rsid w:val="00242D3F"/>
    <w:rsid w:val="00243A72"/>
    <w:rsid w:val="002462BD"/>
    <w:rsid w:val="00252B40"/>
    <w:rsid w:val="00253BFF"/>
    <w:rsid w:val="002547AB"/>
    <w:rsid w:val="00254A16"/>
    <w:rsid w:val="0025500E"/>
    <w:rsid w:val="00270039"/>
    <w:rsid w:val="00271D3B"/>
    <w:rsid w:val="00276649"/>
    <w:rsid w:val="00280324"/>
    <w:rsid w:val="00280DF8"/>
    <w:rsid w:val="002904F2"/>
    <w:rsid w:val="002965B3"/>
    <w:rsid w:val="002B41CA"/>
    <w:rsid w:val="002B423E"/>
    <w:rsid w:val="002B481A"/>
    <w:rsid w:val="002B499E"/>
    <w:rsid w:val="002B7D75"/>
    <w:rsid w:val="002C093B"/>
    <w:rsid w:val="002C6318"/>
    <w:rsid w:val="002C6C4A"/>
    <w:rsid w:val="002D04E1"/>
    <w:rsid w:val="002D40A4"/>
    <w:rsid w:val="002D41DF"/>
    <w:rsid w:val="002E5BEB"/>
    <w:rsid w:val="002E73B4"/>
    <w:rsid w:val="002F2222"/>
    <w:rsid w:val="00300067"/>
    <w:rsid w:val="00304B76"/>
    <w:rsid w:val="00323598"/>
    <w:rsid w:val="003266DA"/>
    <w:rsid w:val="00326D44"/>
    <w:rsid w:val="00332EDE"/>
    <w:rsid w:val="00335A41"/>
    <w:rsid w:val="00336BE2"/>
    <w:rsid w:val="00337F99"/>
    <w:rsid w:val="00344D8A"/>
    <w:rsid w:val="00353171"/>
    <w:rsid w:val="00354886"/>
    <w:rsid w:val="00355C6B"/>
    <w:rsid w:val="0036158F"/>
    <w:rsid w:val="003633D9"/>
    <w:rsid w:val="00363790"/>
    <w:rsid w:val="00382809"/>
    <w:rsid w:val="00385891"/>
    <w:rsid w:val="003925F3"/>
    <w:rsid w:val="00395C25"/>
    <w:rsid w:val="003A3604"/>
    <w:rsid w:val="003A5B12"/>
    <w:rsid w:val="003A6AFB"/>
    <w:rsid w:val="003A6E88"/>
    <w:rsid w:val="003C15BC"/>
    <w:rsid w:val="003C1938"/>
    <w:rsid w:val="003C23D2"/>
    <w:rsid w:val="003D7AB3"/>
    <w:rsid w:val="003E1985"/>
    <w:rsid w:val="003E6482"/>
    <w:rsid w:val="003F3562"/>
    <w:rsid w:val="003F4830"/>
    <w:rsid w:val="003F6F34"/>
    <w:rsid w:val="00401AB8"/>
    <w:rsid w:val="004033C3"/>
    <w:rsid w:val="004136BE"/>
    <w:rsid w:val="00413E7F"/>
    <w:rsid w:val="0042109D"/>
    <w:rsid w:val="00423B3E"/>
    <w:rsid w:val="00423BB1"/>
    <w:rsid w:val="00425BE3"/>
    <w:rsid w:val="00426401"/>
    <w:rsid w:val="00435E7B"/>
    <w:rsid w:val="00443772"/>
    <w:rsid w:val="004504D8"/>
    <w:rsid w:val="004574BF"/>
    <w:rsid w:val="00460CF5"/>
    <w:rsid w:val="004709C8"/>
    <w:rsid w:val="004729E4"/>
    <w:rsid w:val="0047424D"/>
    <w:rsid w:val="004743D1"/>
    <w:rsid w:val="004750FA"/>
    <w:rsid w:val="00485B3D"/>
    <w:rsid w:val="00487B87"/>
    <w:rsid w:val="0049602C"/>
    <w:rsid w:val="004A1B9B"/>
    <w:rsid w:val="004B559A"/>
    <w:rsid w:val="004B5708"/>
    <w:rsid w:val="004C1EAE"/>
    <w:rsid w:val="004C7B0C"/>
    <w:rsid w:val="004D5075"/>
    <w:rsid w:val="004E1806"/>
    <w:rsid w:val="004E5AC0"/>
    <w:rsid w:val="004E64DA"/>
    <w:rsid w:val="004E69C2"/>
    <w:rsid w:val="004F27DE"/>
    <w:rsid w:val="004F7FE1"/>
    <w:rsid w:val="00504E5C"/>
    <w:rsid w:val="00510B5E"/>
    <w:rsid w:val="00511619"/>
    <w:rsid w:val="0051713F"/>
    <w:rsid w:val="005251D7"/>
    <w:rsid w:val="005263DF"/>
    <w:rsid w:val="00547BFE"/>
    <w:rsid w:val="005532B4"/>
    <w:rsid w:val="005546C5"/>
    <w:rsid w:val="0055534B"/>
    <w:rsid w:val="005568C2"/>
    <w:rsid w:val="00556B07"/>
    <w:rsid w:val="0055711F"/>
    <w:rsid w:val="0056488F"/>
    <w:rsid w:val="00577C1E"/>
    <w:rsid w:val="00583EDE"/>
    <w:rsid w:val="005841D5"/>
    <w:rsid w:val="00595C0B"/>
    <w:rsid w:val="0059749E"/>
    <w:rsid w:val="005977F6"/>
    <w:rsid w:val="005A7A96"/>
    <w:rsid w:val="005B02A3"/>
    <w:rsid w:val="005B0AE3"/>
    <w:rsid w:val="005C63E8"/>
    <w:rsid w:val="005D10F6"/>
    <w:rsid w:val="005D70F2"/>
    <w:rsid w:val="005D7BCE"/>
    <w:rsid w:val="005E2D0A"/>
    <w:rsid w:val="005F327E"/>
    <w:rsid w:val="005F584C"/>
    <w:rsid w:val="005F63E6"/>
    <w:rsid w:val="0060587C"/>
    <w:rsid w:val="00607A0D"/>
    <w:rsid w:val="00615D4E"/>
    <w:rsid w:val="0062081C"/>
    <w:rsid w:val="00622198"/>
    <w:rsid w:val="006361FF"/>
    <w:rsid w:val="006365B9"/>
    <w:rsid w:val="006438D8"/>
    <w:rsid w:val="006602A5"/>
    <w:rsid w:val="00672193"/>
    <w:rsid w:val="006826A1"/>
    <w:rsid w:val="0069254A"/>
    <w:rsid w:val="00694F4B"/>
    <w:rsid w:val="00697189"/>
    <w:rsid w:val="006A1475"/>
    <w:rsid w:val="006A72A0"/>
    <w:rsid w:val="006B2E3A"/>
    <w:rsid w:val="006C3C51"/>
    <w:rsid w:val="006C57EC"/>
    <w:rsid w:val="006E7323"/>
    <w:rsid w:val="006F61B5"/>
    <w:rsid w:val="00710941"/>
    <w:rsid w:val="00711AE2"/>
    <w:rsid w:val="00720F31"/>
    <w:rsid w:val="007226FB"/>
    <w:rsid w:val="00733F9C"/>
    <w:rsid w:val="00740947"/>
    <w:rsid w:val="00743B7F"/>
    <w:rsid w:val="00751967"/>
    <w:rsid w:val="00756C4F"/>
    <w:rsid w:val="00761F65"/>
    <w:rsid w:val="00764EA5"/>
    <w:rsid w:val="007725A3"/>
    <w:rsid w:val="00780FB3"/>
    <w:rsid w:val="00792118"/>
    <w:rsid w:val="007923C2"/>
    <w:rsid w:val="00793E21"/>
    <w:rsid w:val="00794282"/>
    <w:rsid w:val="007B4462"/>
    <w:rsid w:val="007B5121"/>
    <w:rsid w:val="007C0435"/>
    <w:rsid w:val="007C245F"/>
    <w:rsid w:val="007D4D61"/>
    <w:rsid w:val="007E5A91"/>
    <w:rsid w:val="007F7951"/>
    <w:rsid w:val="00801D42"/>
    <w:rsid w:val="00802F88"/>
    <w:rsid w:val="00807CDC"/>
    <w:rsid w:val="008127C4"/>
    <w:rsid w:val="00821653"/>
    <w:rsid w:val="00826C8D"/>
    <w:rsid w:val="008357D4"/>
    <w:rsid w:val="0083615A"/>
    <w:rsid w:val="008503F0"/>
    <w:rsid w:val="00855E85"/>
    <w:rsid w:val="00860A6A"/>
    <w:rsid w:val="00864EE8"/>
    <w:rsid w:val="00871527"/>
    <w:rsid w:val="0087290B"/>
    <w:rsid w:val="00873284"/>
    <w:rsid w:val="00885515"/>
    <w:rsid w:val="00890986"/>
    <w:rsid w:val="00890A94"/>
    <w:rsid w:val="00894AAA"/>
    <w:rsid w:val="008951A7"/>
    <w:rsid w:val="00897E66"/>
    <w:rsid w:val="008A4E59"/>
    <w:rsid w:val="008A4EB2"/>
    <w:rsid w:val="008B4B45"/>
    <w:rsid w:val="008C2601"/>
    <w:rsid w:val="008C49EF"/>
    <w:rsid w:val="008C4F5A"/>
    <w:rsid w:val="008D262A"/>
    <w:rsid w:val="008D27DB"/>
    <w:rsid w:val="008D2F69"/>
    <w:rsid w:val="008D72AC"/>
    <w:rsid w:val="008E0A42"/>
    <w:rsid w:val="008E4112"/>
    <w:rsid w:val="008E7218"/>
    <w:rsid w:val="008E72C5"/>
    <w:rsid w:val="008F04DB"/>
    <w:rsid w:val="009021C9"/>
    <w:rsid w:val="00902708"/>
    <w:rsid w:val="00904C4D"/>
    <w:rsid w:val="009051F3"/>
    <w:rsid w:val="00907AEC"/>
    <w:rsid w:val="00913236"/>
    <w:rsid w:val="00914DE3"/>
    <w:rsid w:val="009274AD"/>
    <w:rsid w:val="009334B4"/>
    <w:rsid w:val="00941F38"/>
    <w:rsid w:val="009470F5"/>
    <w:rsid w:val="00951DC5"/>
    <w:rsid w:val="0095280F"/>
    <w:rsid w:val="009571A9"/>
    <w:rsid w:val="00962E5B"/>
    <w:rsid w:val="009716FF"/>
    <w:rsid w:val="00972348"/>
    <w:rsid w:val="009855DD"/>
    <w:rsid w:val="00987794"/>
    <w:rsid w:val="00992551"/>
    <w:rsid w:val="009A0D8C"/>
    <w:rsid w:val="009A1C36"/>
    <w:rsid w:val="009A511A"/>
    <w:rsid w:val="009B1D4B"/>
    <w:rsid w:val="009C36BA"/>
    <w:rsid w:val="009C5B4A"/>
    <w:rsid w:val="009D3CBA"/>
    <w:rsid w:val="009D4D56"/>
    <w:rsid w:val="009E2DC3"/>
    <w:rsid w:val="00A019B0"/>
    <w:rsid w:val="00A03E95"/>
    <w:rsid w:val="00A10148"/>
    <w:rsid w:val="00A166ED"/>
    <w:rsid w:val="00A17726"/>
    <w:rsid w:val="00A24928"/>
    <w:rsid w:val="00A31FF0"/>
    <w:rsid w:val="00A3359F"/>
    <w:rsid w:val="00A3548E"/>
    <w:rsid w:val="00A41EF3"/>
    <w:rsid w:val="00A42201"/>
    <w:rsid w:val="00A42AE6"/>
    <w:rsid w:val="00A43E50"/>
    <w:rsid w:val="00A517FD"/>
    <w:rsid w:val="00A51BAB"/>
    <w:rsid w:val="00A53F2E"/>
    <w:rsid w:val="00A7691B"/>
    <w:rsid w:val="00A77067"/>
    <w:rsid w:val="00A77554"/>
    <w:rsid w:val="00AA2AC9"/>
    <w:rsid w:val="00AB214E"/>
    <w:rsid w:val="00AB260F"/>
    <w:rsid w:val="00AC3015"/>
    <w:rsid w:val="00AD116A"/>
    <w:rsid w:val="00AD26A4"/>
    <w:rsid w:val="00AD72B0"/>
    <w:rsid w:val="00AD7A52"/>
    <w:rsid w:val="00AE3BE5"/>
    <w:rsid w:val="00AE43F5"/>
    <w:rsid w:val="00AE4FF6"/>
    <w:rsid w:val="00AF5578"/>
    <w:rsid w:val="00B01DD6"/>
    <w:rsid w:val="00B06365"/>
    <w:rsid w:val="00B0667E"/>
    <w:rsid w:val="00B076EC"/>
    <w:rsid w:val="00B14425"/>
    <w:rsid w:val="00B226E9"/>
    <w:rsid w:val="00B26976"/>
    <w:rsid w:val="00B322BC"/>
    <w:rsid w:val="00B35322"/>
    <w:rsid w:val="00B4063F"/>
    <w:rsid w:val="00B41443"/>
    <w:rsid w:val="00B55636"/>
    <w:rsid w:val="00B579D4"/>
    <w:rsid w:val="00B671D4"/>
    <w:rsid w:val="00B76E9F"/>
    <w:rsid w:val="00B77CD3"/>
    <w:rsid w:val="00B84B2D"/>
    <w:rsid w:val="00BA05B1"/>
    <w:rsid w:val="00BA2525"/>
    <w:rsid w:val="00BA635F"/>
    <w:rsid w:val="00BA76EF"/>
    <w:rsid w:val="00BA7DB2"/>
    <w:rsid w:val="00BC2F71"/>
    <w:rsid w:val="00BC2F7D"/>
    <w:rsid w:val="00BC3E34"/>
    <w:rsid w:val="00BD50BE"/>
    <w:rsid w:val="00BD62AB"/>
    <w:rsid w:val="00BE2CA4"/>
    <w:rsid w:val="00BF040C"/>
    <w:rsid w:val="00BF321A"/>
    <w:rsid w:val="00C00C42"/>
    <w:rsid w:val="00C0118F"/>
    <w:rsid w:val="00C054F3"/>
    <w:rsid w:val="00C14843"/>
    <w:rsid w:val="00C24FE4"/>
    <w:rsid w:val="00C26F12"/>
    <w:rsid w:val="00C34261"/>
    <w:rsid w:val="00C34821"/>
    <w:rsid w:val="00C34CDC"/>
    <w:rsid w:val="00C42B1A"/>
    <w:rsid w:val="00C50CB5"/>
    <w:rsid w:val="00C51204"/>
    <w:rsid w:val="00C51EBE"/>
    <w:rsid w:val="00C5242E"/>
    <w:rsid w:val="00C57476"/>
    <w:rsid w:val="00C652FE"/>
    <w:rsid w:val="00C66023"/>
    <w:rsid w:val="00C67019"/>
    <w:rsid w:val="00C82B54"/>
    <w:rsid w:val="00C83E22"/>
    <w:rsid w:val="00CA5B67"/>
    <w:rsid w:val="00CA6313"/>
    <w:rsid w:val="00CA678A"/>
    <w:rsid w:val="00CA6ACB"/>
    <w:rsid w:val="00CA7EC5"/>
    <w:rsid w:val="00CB2AD2"/>
    <w:rsid w:val="00CB3A09"/>
    <w:rsid w:val="00CC0E15"/>
    <w:rsid w:val="00CC0F0F"/>
    <w:rsid w:val="00CC41E4"/>
    <w:rsid w:val="00CC4D67"/>
    <w:rsid w:val="00CE34F6"/>
    <w:rsid w:val="00CE4701"/>
    <w:rsid w:val="00CF315B"/>
    <w:rsid w:val="00CF3B72"/>
    <w:rsid w:val="00D013FA"/>
    <w:rsid w:val="00D02312"/>
    <w:rsid w:val="00D03705"/>
    <w:rsid w:val="00D04821"/>
    <w:rsid w:val="00D05E84"/>
    <w:rsid w:val="00D06B45"/>
    <w:rsid w:val="00D12DCB"/>
    <w:rsid w:val="00D3456B"/>
    <w:rsid w:val="00D34BCA"/>
    <w:rsid w:val="00D37500"/>
    <w:rsid w:val="00D37B59"/>
    <w:rsid w:val="00D4182F"/>
    <w:rsid w:val="00D46C4C"/>
    <w:rsid w:val="00D541E1"/>
    <w:rsid w:val="00D612C0"/>
    <w:rsid w:val="00D61F90"/>
    <w:rsid w:val="00D65AF9"/>
    <w:rsid w:val="00D7241B"/>
    <w:rsid w:val="00D74C43"/>
    <w:rsid w:val="00D75757"/>
    <w:rsid w:val="00D75913"/>
    <w:rsid w:val="00D841D8"/>
    <w:rsid w:val="00D90D43"/>
    <w:rsid w:val="00D92A7E"/>
    <w:rsid w:val="00D936AD"/>
    <w:rsid w:val="00DA584A"/>
    <w:rsid w:val="00DA6D99"/>
    <w:rsid w:val="00DB0B73"/>
    <w:rsid w:val="00DB54E3"/>
    <w:rsid w:val="00DC1E54"/>
    <w:rsid w:val="00DC6F53"/>
    <w:rsid w:val="00DD1CF2"/>
    <w:rsid w:val="00DE0BD4"/>
    <w:rsid w:val="00DE2005"/>
    <w:rsid w:val="00DE34D7"/>
    <w:rsid w:val="00DE55D4"/>
    <w:rsid w:val="00DF1763"/>
    <w:rsid w:val="00DF2146"/>
    <w:rsid w:val="00DF7D31"/>
    <w:rsid w:val="00E245F0"/>
    <w:rsid w:val="00E32BBA"/>
    <w:rsid w:val="00E40820"/>
    <w:rsid w:val="00E44E60"/>
    <w:rsid w:val="00E50E0A"/>
    <w:rsid w:val="00E51959"/>
    <w:rsid w:val="00E53C42"/>
    <w:rsid w:val="00E72528"/>
    <w:rsid w:val="00E726F9"/>
    <w:rsid w:val="00E826A3"/>
    <w:rsid w:val="00E92B3C"/>
    <w:rsid w:val="00EA2298"/>
    <w:rsid w:val="00EB1730"/>
    <w:rsid w:val="00EB25AB"/>
    <w:rsid w:val="00EB28D9"/>
    <w:rsid w:val="00EC4E70"/>
    <w:rsid w:val="00EE295A"/>
    <w:rsid w:val="00EE75E4"/>
    <w:rsid w:val="00EF617C"/>
    <w:rsid w:val="00EF6B13"/>
    <w:rsid w:val="00EF7B06"/>
    <w:rsid w:val="00F0202E"/>
    <w:rsid w:val="00F06A6C"/>
    <w:rsid w:val="00F1387A"/>
    <w:rsid w:val="00F156DC"/>
    <w:rsid w:val="00F229E7"/>
    <w:rsid w:val="00F31531"/>
    <w:rsid w:val="00F3187A"/>
    <w:rsid w:val="00F3590C"/>
    <w:rsid w:val="00F36259"/>
    <w:rsid w:val="00F52AEF"/>
    <w:rsid w:val="00F603A5"/>
    <w:rsid w:val="00F60C43"/>
    <w:rsid w:val="00F666B3"/>
    <w:rsid w:val="00F74E5C"/>
    <w:rsid w:val="00F77F9F"/>
    <w:rsid w:val="00F861C0"/>
    <w:rsid w:val="00F9783D"/>
    <w:rsid w:val="00FA1ECE"/>
    <w:rsid w:val="00FA2286"/>
    <w:rsid w:val="00FA23BD"/>
    <w:rsid w:val="00FA3760"/>
    <w:rsid w:val="00FA57D2"/>
    <w:rsid w:val="00FB2AAA"/>
    <w:rsid w:val="00FB4D2C"/>
    <w:rsid w:val="00FC277C"/>
    <w:rsid w:val="00FD0AE5"/>
    <w:rsid w:val="00FD5F60"/>
    <w:rsid w:val="00FD72BE"/>
    <w:rsid w:val="00FD77B9"/>
    <w:rsid w:val="00FE0DAB"/>
    <w:rsid w:val="00FE4F8C"/>
    <w:rsid w:val="00FE726B"/>
    <w:rsid w:val="00FF00E6"/>
    <w:rsid w:val="00FF0259"/>
    <w:rsid w:val="00FF0E5D"/>
    <w:rsid w:val="00FF4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 Of Contents Heading"/>
    <w:basedOn w:val="Normal"/>
    <w:qFormat/>
    <w:rsid w:val="00107797"/>
    <w:pPr>
      <w:spacing w:after="240" w:line="240" w:lineRule="auto"/>
    </w:pPr>
    <w:rPr>
      <w:rFonts w:ascii="Arial" w:hAnsi="Arial"/>
      <w:b/>
      <w:color w:val="FFB612"/>
    </w:rPr>
  </w:style>
  <w:style w:type="paragraph" w:customStyle="1" w:styleId="StanwellHeading1">
    <w:name w:val="Stanwell Heading 1"/>
    <w:basedOn w:val="Normal"/>
    <w:qFormat/>
    <w:rsid w:val="00107797"/>
    <w:pPr>
      <w:numPr>
        <w:numId w:val="4"/>
      </w:numPr>
    </w:pPr>
    <w:rPr>
      <w:rFonts w:ascii="Arial" w:hAnsi="Arial"/>
      <w:b/>
      <w:color w:val="5E6A71"/>
    </w:rPr>
  </w:style>
  <w:style w:type="paragraph" w:customStyle="1" w:styleId="MainHead1">
    <w:name w:val="Main Head 1"/>
    <w:basedOn w:val="Normal"/>
    <w:qFormat/>
    <w:rsid w:val="00107797"/>
    <w:pPr>
      <w:pBdr>
        <w:top w:val="single" w:sz="4" w:space="1" w:color="FFB612"/>
        <w:left w:val="single" w:sz="4" w:space="4" w:color="FFB612"/>
        <w:bottom w:val="single" w:sz="4" w:space="1" w:color="FFB612"/>
        <w:right w:val="single" w:sz="4" w:space="4" w:color="FFB612"/>
      </w:pBdr>
      <w:shd w:val="clear" w:color="auto" w:fill="FFB612"/>
    </w:pPr>
    <w:rPr>
      <w:rFonts w:ascii="Arial" w:hAnsi="Arial"/>
      <w:b/>
      <w:color w:val="5E6A71"/>
    </w:rPr>
  </w:style>
  <w:style w:type="paragraph" w:customStyle="1" w:styleId="StanwellHeading2">
    <w:name w:val="Stanwell Heading 2"/>
    <w:basedOn w:val="Normal"/>
    <w:qFormat/>
    <w:rsid w:val="00107797"/>
    <w:pPr>
      <w:numPr>
        <w:numId w:val="5"/>
      </w:numPr>
      <w:spacing w:after="240" w:line="240" w:lineRule="auto"/>
    </w:pPr>
  </w:style>
  <w:style w:type="paragraph" w:customStyle="1" w:styleId="StanwellHeading4">
    <w:name w:val="Stanwell Heading 4"/>
    <w:basedOn w:val="Normal"/>
    <w:qFormat/>
    <w:rsid w:val="00107797"/>
    <w:rPr>
      <w:rFonts w:ascii="Arial" w:hAnsi="Arial"/>
      <w:b/>
      <w:i/>
      <w:color w:val="5E6A71"/>
    </w:rPr>
  </w:style>
  <w:style w:type="paragraph" w:styleId="Header">
    <w:name w:val="header"/>
    <w:basedOn w:val="Normal"/>
    <w:link w:val="HeaderChar"/>
    <w:uiPriority w:val="99"/>
    <w:unhideWhenUsed/>
    <w:rsid w:val="00F229E7"/>
    <w:pPr>
      <w:tabs>
        <w:tab w:val="center" w:pos="4513"/>
        <w:tab w:val="right" w:pos="9026"/>
      </w:tabs>
    </w:pPr>
  </w:style>
  <w:style w:type="character" w:customStyle="1" w:styleId="HeaderChar">
    <w:name w:val="Header Char"/>
    <w:link w:val="Header"/>
    <w:uiPriority w:val="99"/>
    <w:rsid w:val="00F229E7"/>
    <w:rPr>
      <w:sz w:val="22"/>
      <w:szCs w:val="22"/>
      <w:lang w:eastAsia="en-US"/>
    </w:rPr>
  </w:style>
  <w:style w:type="paragraph" w:styleId="Footer">
    <w:name w:val="footer"/>
    <w:basedOn w:val="Normal"/>
    <w:link w:val="FooterChar"/>
    <w:uiPriority w:val="99"/>
    <w:unhideWhenUsed/>
    <w:rsid w:val="00F229E7"/>
    <w:pPr>
      <w:tabs>
        <w:tab w:val="center" w:pos="4513"/>
        <w:tab w:val="right" w:pos="9026"/>
      </w:tabs>
    </w:pPr>
  </w:style>
  <w:style w:type="character" w:customStyle="1" w:styleId="FooterChar">
    <w:name w:val="Footer Char"/>
    <w:link w:val="Footer"/>
    <w:uiPriority w:val="99"/>
    <w:rsid w:val="00F229E7"/>
    <w:rPr>
      <w:sz w:val="22"/>
      <w:szCs w:val="22"/>
      <w:lang w:eastAsia="en-US"/>
    </w:rPr>
  </w:style>
  <w:style w:type="paragraph" w:styleId="ListParagraph">
    <w:name w:val="List Paragraph"/>
    <w:basedOn w:val="Normal"/>
    <w:uiPriority w:val="34"/>
    <w:qFormat/>
    <w:rsid w:val="00FB4D2C"/>
    <w:pPr>
      <w:ind w:left="720"/>
      <w:contextualSpacing/>
    </w:pPr>
    <w:rPr>
      <w:rFonts w:eastAsia="MS Mincho"/>
      <w:lang w:eastAsia="ja-JP"/>
    </w:rPr>
  </w:style>
  <w:style w:type="table" w:styleId="TableGrid">
    <w:name w:val="Table Grid"/>
    <w:basedOn w:val="TableNormal"/>
    <w:uiPriority w:val="59"/>
    <w:rsid w:val="00B5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D116A"/>
    <w:pPr>
      <w:autoSpaceDE w:val="0"/>
      <w:autoSpaceDN w:val="0"/>
      <w:spacing w:after="0" w:line="240" w:lineRule="auto"/>
    </w:pPr>
    <w:rPr>
      <w:rFonts w:ascii="Arial" w:eastAsia="Times New Roman" w:hAnsi="Arial" w:cs="Arial"/>
      <w:color w:val="000000"/>
      <w:sz w:val="24"/>
      <w:szCs w:val="24"/>
    </w:rPr>
  </w:style>
  <w:style w:type="character" w:styleId="CommentReference">
    <w:name w:val="annotation reference"/>
    <w:uiPriority w:val="99"/>
    <w:semiHidden/>
    <w:unhideWhenUsed/>
    <w:rsid w:val="007E5A91"/>
    <w:rPr>
      <w:sz w:val="16"/>
      <w:szCs w:val="16"/>
    </w:rPr>
  </w:style>
  <w:style w:type="paragraph" w:styleId="CommentText">
    <w:name w:val="annotation text"/>
    <w:basedOn w:val="Normal"/>
    <w:link w:val="CommentTextChar"/>
    <w:uiPriority w:val="99"/>
    <w:semiHidden/>
    <w:unhideWhenUsed/>
    <w:rsid w:val="007E5A91"/>
    <w:rPr>
      <w:sz w:val="20"/>
      <w:szCs w:val="20"/>
    </w:rPr>
  </w:style>
  <w:style w:type="character" w:customStyle="1" w:styleId="CommentTextChar">
    <w:name w:val="Comment Text Char"/>
    <w:link w:val="CommentText"/>
    <w:uiPriority w:val="99"/>
    <w:semiHidden/>
    <w:rsid w:val="007E5A91"/>
    <w:rPr>
      <w:lang w:eastAsia="en-US"/>
    </w:rPr>
  </w:style>
  <w:style w:type="paragraph" w:styleId="CommentSubject">
    <w:name w:val="annotation subject"/>
    <w:basedOn w:val="CommentText"/>
    <w:next w:val="CommentText"/>
    <w:link w:val="CommentSubjectChar"/>
    <w:uiPriority w:val="99"/>
    <w:semiHidden/>
    <w:unhideWhenUsed/>
    <w:rsid w:val="007E5A91"/>
    <w:rPr>
      <w:b/>
      <w:bCs/>
    </w:rPr>
  </w:style>
  <w:style w:type="character" w:customStyle="1" w:styleId="CommentSubjectChar">
    <w:name w:val="Comment Subject Char"/>
    <w:link w:val="CommentSubject"/>
    <w:uiPriority w:val="99"/>
    <w:semiHidden/>
    <w:rsid w:val="007E5A91"/>
    <w:rPr>
      <w:b/>
      <w:bCs/>
      <w:lang w:eastAsia="en-US"/>
    </w:rPr>
  </w:style>
  <w:style w:type="paragraph" w:styleId="BalloonText">
    <w:name w:val="Balloon Text"/>
    <w:basedOn w:val="Normal"/>
    <w:link w:val="BalloonTextChar"/>
    <w:uiPriority w:val="99"/>
    <w:semiHidden/>
    <w:unhideWhenUsed/>
    <w:rsid w:val="007E5A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5A91"/>
    <w:rPr>
      <w:rFonts w:ascii="Tahoma" w:hAnsi="Tahoma" w:cs="Tahoma"/>
      <w:sz w:val="16"/>
      <w:szCs w:val="16"/>
      <w:lang w:eastAsia="en-US"/>
    </w:rPr>
  </w:style>
  <w:style w:type="paragraph" w:styleId="FootnoteText">
    <w:name w:val="footnote text"/>
    <w:basedOn w:val="Normal"/>
    <w:link w:val="FootnoteTextChar"/>
    <w:uiPriority w:val="99"/>
    <w:semiHidden/>
    <w:unhideWhenUsed/>
    <w:rsid w:val="00622198"/>
    <w:rPr>
      <w:sz w:val="20"/>
      <w:szCs w:val="20"/>
    </w:rPr>
  </w:style>
  <w:style w:type="character" w:customStyle="1" w:styleId="FootnoteTextChar">
    <w:name w:val="Footnote Text Char"/>
    <w:link w:val="FootnoteText"/>
    <w:uiPriority w:val="99"/>
    <w:semiHidden/>
    <w:rsid w:val="00622198"/>
    <w:rPr>
      <w:lang w:eastAsia="en-US"/>
    </w:rPr>
  </w:style>
  <w:style w:type="character" w:styleId="FootnoteReference">
    <w:name w:val="footnote reference"/>
    <w:uiPriority w:val="99"/>
    <w:semiHidden/>
    <w:unhideWhenUsed/>
    <w:rsid w:val="00622198"/>
    <w:rPr>
      <w:vertAlign w:val="superscript"/>
    </w:rPr>
  </w:style>
  <w:style w:type="character" w:styleId="Hyperlink">
    <w:name w:val="Hyperlink"/>
    <w:uiPriority w:val="99"/>
    <w:unhideWhenUsed/>
    <w:rsid w:val="00F020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9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 Of Contents Heading"/>
    <w:basedOn w:val="Normal"/>
    <w:qFormat/>
    <w:rsid w:val="00107797"/>
    <w:pPr>
      <w:spacing w:after="240" w:line="240" w:lineRule="auto"/>
    </w:pPr>
    <w:rPr>
      <w:rFonts w:ascii="Arial" w:hAnsi="Arial"/>
      <w:b/>
      <w:color w:val="FFB612"/>
    </w:rPr>
  </w:style>
  <w:style w:type="paragraph" w:customStyle="1" w:styleId="StanwellHeading1">
    <w:name w:val="Stanwell Heading 1"/>
    <w:basedOn w:val="Normal"/>
    <w:qFormat/>
    <w:rsid w:val="00107797"/>
    <w:pPr>
      <w:numPr>
        <w:numId w:val="4"/>
      </w:numPr>
    </w:pPr>
    <w:rPr>
      <w:rFonts w:ascii="Arial" w:hAnsi="Arial"/>
      <w:b/>
      <w:color w:val="5E6A71"/>
    </w:rPr>
  </w:style>
  <w:style w:type="paragraph" w:customStyle="1" w:styleId="MainHead1">
    <w:name w:val="Main Head 1"/>
    <w:basedOn w:val="Normal"/>
    <w:qFormat/>
    <w:rsid w:val="00107797"/>
    <w:pPr>
      <w:pBdr>
        <w:top w:val="single" w:sz="4" w:space="1" w:color="FFB612"/>
        <w:left w:val="single" w:sz="4" w:space="4" w:color="FFB612"/>
        <w:bottom w:val="single" w:sz="4" w:space="1" w:color="FFB612"/>
        <w:right w:val="single" w:sz="4" w:space="4" w:color="FFB612"/>
      </w:pBdr>
      <w:shd w:val="clear" w:color="auto" w:fill="FFB612"/>
    </w:pPr>
    <w:rPr>
      <w:rFonts w:ascii="Arial" w:hAnsi="Arial"/>
      <w:b/>
      <w:color w:val="5E6A71"/>
    </w:rPr>
  </w:style>
  <w:style w:type="paragraph" w:customStyle="1" w:styleId="StanwellHeading2">
    <w:name w:val="Stanwell Heading 2"/>
    <w:basedOn w:val="Normal"/>
    <w:qFormat/>
    <w:rsid w:val="00107797"/>
    <w:pPr>
      <w:numPr>
        <w:numId w:val="5"/>
      </w:numPr>
      <w:spacing w:after="240" w:line="240" w:lineRule="auto"/>
    </w:pPr>
  </w:style>
  <w:style w:type="paragraph" w:customStyle="1" w:styleId="StanwellHeading4">
    <w:name w:val="Stanwell Heading 4"/>
    <w:basedOn w:val="Normal"/>
    <w:qFormat/>
    <w:rsid w:val="00107797"/>
    <w:rPr>
      <w:rFonts w:ascii="Arial" w:hAnsi="Arial"/>
      <w:b/>
      <w:i/>
      <w:color w:val="5E6A71"/>
    </w:rPr>
  </w:style>
  <w:style w:type="paragraph" w:styleId="Header">
    <w:name w:val="header"/>
    <w:basedOn w:val="Normal"/>
    <w:link w:val="HeaderChar"/>
    <w:uiPriority w:val="99"/>
    <w:unhideWhenUsed/>
    <w:rsid w:val="00F229E7"/>
    <w:pPr>
      <w:tabs>
        <w:tab w:val="center" w:pos="4513"/>
        <w:tab w:val="right" w:pos="9026"/>
      </w:tabs>
    </w:pPr>
  </w:style>
  <w:style w:type="character" w:customStyle="1" w:styleId="HeaderChar">
    <w:name w:val="Header Char"/>
    <w:link w:val="Header"/>
    <w:uiPriority w:val="99"/>
    <w:rsid w:val="00F229E7"/>
    <w:rPr>
      <w:sz w:val="22"/>
      <w:szCs w:val="22"/>
      <w:lang w:eastAsia="en-US"/>
    </w:rPr>
  </w:style>
  <w:style w:type="paragraph" w:styleId="Footer">
    <w:name w:val="footer"/>
    <w:basedOn w:val="Normal"/>
    <w:link w:val="FooterChar"/>
    <w:uiPriority w:val="99"/>
    <w:unhideWhenUsed/>
    <w:rsid w:val="00F229E7"/>
    <w:pPr>
      <w:tabs>
        <w:tab w:val="center" w:pos="4513"/>
        <w:tab w:val="right" w:pos="9026"/>
      </w:tabs>
    </w:pPr>
  </w:style>
  <w:style w:type="character" w:customStyle="1" w:styleId="FooterChar">
    <w:name w:val="Footer Char"/>
    <w:link w:val="Footer"/>
    <w:uiPriority w:val="99"/>
    <w:rsid w:val="00F229E7"/>
    <w:rPr>
      <w:sz w:val="22"/>
      <w:szCs w:val="22"/>
      <w:lang w:eastAsia="en-US"/>
    </w:rPr>
  </w:style>
  <w:style w:type="paragraph" w:styleId="ListParagraph">
    <w:name w:val="List Paragraph"/>
    <w:basedOn w:val="Normal"/>
    <w:uiPriority w:val="34"/>
    <w:qFormat/>
    <w:rsid w:val="00FB4D2C"/>
    <w:pPr>
      <w:ind w:left="720"/>
      <w:contextualSpacing/>
    </w:pPr>
    <w:rPr>
      <w:rFonts w:eastAsia="MS Mincho"/>
      <w:lang w:eastAsia="ja-JP"/>
    </w:rPr>
  </w:style>
  <w:style w:type="table" w:styleId="TableGrid">
    <w:name w:val="Table Grid"/>
    <w:basedOn w:val="TableNormal"/>
    <w:uiPriority w:val="59"/>
    <w:rsid w:val="00B5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AD116A"/>
    <w:pPr>
      <w:autoSpaceDE w:val="0"/>
      <w:autoSpaceDN w:val="0"/>
      <w:spacing w:after="0" w:line="240" w:lineRule="auto"/>
    </w:pPr>
    <w:rPr>
      <w:rFonts w:ascii="Arial" w:eastAsia="Times New Roman" w:hAnsi="Arial" w:cs="Arial"/>
      <w:color w:val="000000"/>
      <w:sz w:val="24"/>
      <w:szCs w:val="24"/>
    </w:rPr>
  </w:style>
  <w:style w:type="character" w:styleId="CommentReference">
    <w:name w:val="annotation reference"/>
    <w:uiPriority w:val="99"/>
    <w:semiHidden/>
    <w:unhideWhenUsed/>
    <w:rsid w:val="007E5A91"/>
    <w:rPr>
      <w:sz w:val="16"/>
      <w:szCs w:val="16"/>
    </w:rPr>
  </w:style>
  <w:style w:type="paragraph" w:styleId="CommentText">
    <w:name w:val="annotation text"/>
    <w:basedOn w:val="Normal"/>
    <w:link w:val="CommentTextChar"/>
    <w:uiPriority w:val="99"/>
    <w:semiHidden/>
    <w:unhideWhenUsed/>
    <w:rsid w:val="007E5A91"/>
    <w:rPr>
      <w:sz w:val="20"/>
      <w:szCs w:val="20"/>
    </w:rPr>
  </w:style>
  <w:style w:type="character" w:customStyle="1" w:styleId="CommentTextChar">
    <w:name w:val="Comment Text Char"/>
    <w:link w:val="CommentText"/>
    <w:uiPriority w:val="99"/>
    <w:semiHidden/>
    <w:rsid w:val="007E5A91"/>
    <w:rPr>
      <w:lang w:eastAsia="en-US"/>
    </w:rPr>
  </w:style>
  <w:style w:type="paragraph" w:styleId="CommentSubject">
    <w:name w:val="annotation subject"/>
    <w:basedOn w:val="CommentText"/>
    <w:next w:val="CommentText"/>
    <w:link w:val="CommentSubjectChar"/>
    <w:uiPriority w:val="99"/>
    <w:semiHidden/>
    <w:unhideWhenUsed/>
    <w:rsid w:val="007E5A91"/>
    <w:rPr>
      <w:b/>
      <w:bCs/>
    </w:rPr>
  </w:style>
  <w:style w:type="character" w:customStyle="1" w:styleId="CommentSubjectChar">
    <w:name w:val="Comment Subject Char"/>
    <w:link w:val="CommentSubject"/>
    <w:uiPriority w:val="99"/>
    <w:semiHidden/>
    <w:rsid w:val="007E5A91"/>
    <w:rPr>
      <w:b/>
      <w:bCs/>
      <w:lang w:eastAsia="en-US"/>
    </w:rPr>
  </w:style>
  <w:style w:type="paragraph" w:styleId="BalloonText">
    <w:name w:val="Balloon Text"/>
    <w:basedOn w:val="Normal"/>
    <w:link w:val="BalloonTextChar"/>
    <w:uiPriority w:val="99"/>
    <w:semiHidden/>
    <w:unhideWhenUsed/>
    <w:rsid w:val="007E5A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5A91"/>
    <w:rPr>
      <w:rFonts w:ascii="Tahoma" w:hAnsi="Tahoma" w:cs="Tahoma"/>
      <w:sz w:val="16"/>
      <w:szCs w:val="16"/>
      <w:lang w:eastAsia="en-US"/>
    </w:rPr>
  </w:style>
  <w:style w:type="paragraph" w:styleId="FootnoteText">
    <w:name w:val="footnote text"/>
    <w:basedOn w:val="Normal"/>
    <w:link w:val="FootnoteTextChar"/>
    <w:uiPriority w:val="99"/>
    <w:semiHidden/>
    <w:unhideWhenUsed/>
    <w:rsid w:val="00622198"/>
    <w:rPr>
      <w:sz w:val="20"/>
      <w:szCs w:val="20"/>
    </w:rPr>
  </w:style>
  <w:style w:type="character" w:customStyle="1" w:styleId="FootnoteTextChar">
    <w:name w:val="Footnote Text Char"/>
    <w:link w:val="FootnoteText"/>
    <w:uiPriority w:val="99"/>
    <w:semiHidden/>
    <w:rsid w:val="00622198"/>
    <w:rPr>
      <w:lang w:eastAsia="en-US"/>
    </w:rPr>
  </w:style>
  <w:style w:type="character" w:styleId="FootnoteReference">
    <w:name w:val="footnote reference"/>
    <w:uiPriority w:val="99"/>
    <w:semiHidden/>
    <w:unhideWhenUsed/>
    <w:rsid w:val="00622198"/>
    <w:rPr>
      <w:vertAlign w:val="superscript"/>
    </w:rPr>
  </w:style>
  <w:style w:type="character" w:styleId="Hyperlink">
    <w:name w:val="Hyperlink"/>
    <w:uiPriority w:val="99"/>
    <w:unhideWhenUsed/>
    <w:rsid w:val="00F020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6167">
      <w:bodyDiv w:val="1"/>
      <w:marLeft w:val="0"/>
      <w:marRight w:val="0"/>
      <w:marTop w:val="0"/>
      <w:marBottom w:val="0"/>
      <w:divBdr>
        <w:top w:val="none" w:sz="0" w:space="0" w:color="auto"/>
        <w:left w:val="none" w:sz="0" w:space="0" w:color="auto"/>
        <w:bottom w:val="none" w:sz="0" w:space="0" w:color="auto"/>
        <w:right w:val="none" w:sz="0" w:space="0" w:color="auto"/>
      </w:divBdr>
    </w:div>
    <w:div w:id="104883573">
      <w:bodyDiv w:val="1"/>
      <w:marLeft w:val="0"/>
      <w:marRight w:val="0"/>
      <w:marTop w:val="0"/>
      <w:marBottom w:val="0"/>
      <w:divBdr>
        <w:top w:val="none" w:sz="0" w:space="0" w:color="auto"/>
        <w:left w:val="none" w:sz="0" w:space="0" w:color="auto"/>
        <w:bottom w:val="none" w:sz="0" w:space="0" w:color="auto"/>
        <w:right w:val="none" w:sz="0" w:space="0" w:color="auto"/>
      </w:divBdr>
    </w:div>
    <w:div w:id="321740300">
      <w:bodyDiv w:val="1"/>
      <w:marLeft w:val="0"/>
      <w:marRight w:val="0"/>
      <w:marTop w:val="0"/>
      <w:marBottom w:val="0"/>
      <w:divBdr>
        <w:top w:val="none" w:sz="0" w:space="0" w:color="auto"/>
        <w:left w:val="none" w:sz="0" w:space="0" w:color="auto"/>
        <w:bottom w:val="none" w:sz="0" w:space="0" w:color="auto"/>
        <w:right w:val="none" w:sz="0" w:space="0" w:color="auto"/>
      </w:divBdr>
    </w:div>
    <w:div w:id="851188133">
      <w:bodyDiv w:val="1"/>
      <w:marLeft w:val="0"/>
      <w:marRight w:val="0"/>
      <w:marTop w:val="0"/>
      <w:marBottom w:val="0"/>
      <w:divBdr>
        <w:top w:val="none" w:sz="0" w:space="0" w:color="auto"/>
        <w:left w:val="none" w:sz="0" w:space="0" w:color="auto"/>
        <w:bottom w:val="none" w:sz="0" w:space="0" w:color="auto"/>
        <w:right w:val="none" w:sz="0" w:space="0" w:color="auto"/>
      </w:divBdr>
    </w:div>
    <w:div w:id="1569461341">
      <w:bodyDiv w:val="1"/>
      <w:marLeft w:val="0"/>
      <w:marRight w:val="0"/>
      <w:marTop w:val="0"/>
      <w:marBottom w:val="0"/>
      <w:divBdr>
        <w:top w:val="none" w:sz="0" w:space="0" w:color="auto"/>
        <w:left w:val="none" w:sz="0" w:space="0" w:color="auto"/>
        <w:bottom w:val="none" w:sz="0" w:space="0" w:color="auto"/>
        <w:right w:val="none" w:sz="0" w:space="0" w:color="auto"/>
      </w:divBdr>
    </w:div>
    <w:div w:id="1575165848">
      <w:bodyDiv w:val="1"/>
      <w:marLeft w:val="0"/>
      <w:marRight w:val="0"/>
      <w:marTop w:val="0"/>
      <w:marBottom w:val="0"/>
      <w:divBdr>
        <w:top w:val="none" w:sz="0" w:space="0" w:color="auto"/>
        <w:left w:val="none" w:sz="0" w:space="0" w:color="auto"/>
        <w:bottom w:val="none" w:sz="0" w:space="0" w:color="auto"/>
        <w:right w:val="none" w:sz="0" w:space="0" w:color="auto"/>
      </w:divBdr>
    </w:div>
    <w:div w:id="1999188420">
      <w:bodyDiv w:val="1"/>
      <w:marLeft w:val="0"/>
      <w:marRight w:val="0"/>
      <w:marTop w:val="0"/>
      <w:marBottom w:val="0"/>
      <w:divBdr>
        <w:top w:val="none" w:sz="0" w:space="0" w:color="auto"/>
        <w:left w:val="none" w:sz="0" w:space="0" w:color="auto"/>
        <w:bottom w:val="none" w:sz="0" w:space="0" w:color="auto"/>
        <w:right w:val="none" w:sz="0" w:space="0" w:color="auto"/>
      </w:divBdr>
    </w:div>
    <w:div w:id="2026398489">
      <w:bodyDiv w:val="1"/>
      <w:marLeft w:val="0"/>
      <w:marRight w:val="0"/>
      <w:marTop w:val="0"/>
      <w:marBottom w:val="0"/>
      <w:divBdr>
        <w:top w:val="none" w:sz="0" w:space="0" w:color="auto"/>
        <w:left w:val="none" w:sz="0" w:space="0" w:color="auto"/>
        <w:bottom w:val="none" w:sz="0" w:space="0" w:color="auto"/>
        <w:right w:val="none" w:sz="0" w:space="0" w:color="auto"/>
      </w:divBdr>
    </w:div>
    <w:div w:id="20649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yperlink" Target="mailto:mlf.process@aemo.com.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09ac0fb-07cb-4169-8a26-def2760b5502" ContentTypeId="0x0101009BE89D58CAF0934CA32A20BCFFD353DC" PreviousValue="false"/>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5F567AC3B28FE54BB089CC2246E31794" ma:contentTypeVersion="35" ma:contentTypeDescription="" ma:contentTypeScope="" ma:versionID="390fb9de1504d40c888feab2ae116b39">
  <xsd:schema xmlns:xsd="http://www.w3.org/2001/XMLSchema" xmlns:xs="http://www.w3.org/2001/XMLSchema" xmlns:p="http://schemas.microsoft.com/office/2006/metadata/properties" xmlns:ns2="a14523ce-dede-483e-883a-2d83261080bd" targetNamespace="http://schemas.microsoft.com/office/2006/metadata/properties" ma:root="true" ma:fieldsID="9b0857d9454dccff3ecb3da73db49ac0"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26e78d33-ddd0-4fbb-9703-cd5bc71414b5}" ma:internalName="TaxCatchAll" ma:showField="CatchAllData" ma:web="1f8b7dc5-54b5-40f3-8c51-96accf297a7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26e78d33-ddd0-4fbb-9703-cd5bc71414b5}" ma:internalName="TaxCatchAllLabel" ma:readOnly="true" ma:showField="CatchAllDataLabel" ma:web="1f8b7dc5-54b5-40f3-8c51-96accf297a77">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_dlc_DocId xmlns="a14523ce-dede-483e-883a-2d83261080bd">SYSPERFCOMM-8-2395</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1</Value>
    </TaxCatchAll>
    <_dlc_DocIdUrl xmlns="a14523ce-dede-483e-883a-2d83261080bd">
      <Url>http://sharedocs/sites/spc/_layouts/15/DocIdRedir.aspx?ID=SYSPERFCOMM-8-2395</Url>
      <Description>SYSPERFCOMM-8-2395</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documentManagement>
</p:properties>
</file>

<file path=customXml/itemProps1.xml><?xml version="1.0" encoding="utf-8"?>
<ds:datastoreItem xmlns:ds="http://schemas.openxmlformats.org/officeDocument/2006/customXml" ds:itemID="{1163DFCE-6C27-461B-8155-04A2A1E27498}"/>
</file>

<file path=customXml/itemProps2.xml><?xml version="1.0" encoding="utf-8"?>
<ds:datastoreItem xmlns:ds="http://schemas.openxmlformats.org/officeDocument/2006/customXml" ds:itemID="{683A3AB9-46EA-49BB-883D-AAFF16AE3326}"/>
</file>

<file path=customXml/itemProps3.xml><?xml version="1.0" encoding="utf-8"?>
<ds:datastoreItem xmlns:ds="http://schemas.openxmlformats.org/officeDocument/2006/customXml" ds:itemID="{257FB299-E7E7-448F-B5CA-FE7FC0E753A0}"/>
</file>

<file path=customXml/itemProps4.xml><?xml version="1.0" encoding="utf-8"?>
<ds:datastoreItem xmlns:ds="http://schemas.openxmlformats.org/officeDocument/2006/customXml" ds:itemID="{BD236EB3-EB60-4E1E-A53B-DB9FEFB1A02C}"/>
</file>

<file path=customXml/itemProps5.xml><?xml version="1.0" encoding="utf-8"?>
<ds:datastoreItem xmlns:ds="http://schemas.openxmlformats.org/officeDocument/2006/customXml" ds:itemID="{09459923-4A76-418A-9B54-77FAB074AB6B}"/>
</file>

<file path=customXml/itemProps6.xml><?xml version="1.0" encoding="utf-8"?>
<ds:datastoreItem xmlns:ds="http://schemas.openxmlformats.org/officeDocument/2006/customXml" ds:itemID="{EFD77FFC-A044-4865-92CD-1689BC07D937}"/>
</file>

<file path=customXml/itemProps7.xml><?xml version="1.0" encoding="utf-8"?>
<ds:datastoreItem xmlns:ds="http://schemas.openxmlformats.org/officeDocument/2006/customXml" ds:itemID="{9EF166E5-48AD-45E7-91C7-FDF629A671B7}"/>
</file>

<file path=docProps/app.xml><?xml version="1.0" encoding="utf-8"?>
<Properties xmlns="http://schemas.openxmlformats.org/officeDocument/2006/extended-properties" xmlns:vt="http://schemas.openxmlformats.org/officeDocument/2006/docPropsVTypes">
  <Template>Normal.dotm</Template>
  <TotalTime>29</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Stanwell Corporation Limited</Company>
  <LinksUpToDate>false</LinksUpToDate>
  <CharactersWithSpaces>8665</CharactersWithSpaces>
  <SharedDoc>false</SharedDoc>
  <HLinks>
    <vt:vector size="6" baseType="variant">
      <vt:variant>
        <vt:i4>7733327</vt:i4>
      </vt:variant>
      <vt:variant>
        <vt:i4>0</vt:i4>
      </vt:variant>
      <vt:variant>
        <vt:i4>0</vt:i4>
      </vt:variant>
      <vt:variant>
        <vt:i4>5</vt:i4>
      </vt:variant>
      <vt:variant>
        <vt:lpwstr>mailto:mlf.process@aemo.com.au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Scotney, Kylie</dc:creator>
  <cp:lastModifiedBy>Merritt, Jay</cp:lastModifiedBy>
  <cp:revision>5</cp:revision>
  <cp:lastPrinted>2016-09-16T05:39:00Z</cp:lastPrinted>
  <dcterms:created xsi:type="dcterms:W3CDTF">2016-12-19T23:34:00Z</dcterms:created>
  <dcterms:modified xsi:type="dcterms:W3CDTF">2016-12-22T03:30:00Z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9158b766-9c57-4095-817a-875095f2889b</vt:lpwstr>
  </property>
  <property fmtid="{D5CDD505-2E9C-101B-9397-08002B2CF9AE}" pid="3" name="ContentTypeId">
    <vt:lpwstr>0x0101009BE89D58CAF0934CA32A20BCFFD353DC005F567AC3B28FE54BB089CC2246E31794</vt:lpwstr>
  </property>
  <property fmtid="{D5CDD505-2E9C-101B-9397-08002B2CF9AE}" pid="4" name="AEMODocumentType">
    <vt:lpwstr>1;#Operational Record|859762f2-4462-42eb-9744-c955c7e2c540</vt:lpwstr>
  </property>
</Properties>
</file>