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AF1CF" w14:textId="02244460" w:rsidR="00CA3475" w:rsidRDefault="00D33D3B" w:rsidP="005C23A0">
      <w:pPr>
        <w:pStyle w:val="Heading1"/>
        <w:spacing w:line="360" w:lineRule="auto"/>
      </w:pPr>
      <w:r>
        <w:rPr>
          <w:rStyle w:val="Strong"/>
        </w:rPr>
        <w:t xml:space="preserve">DWGM Participant - </w:t>
      </w:r>
      <w:r w:rsidR="00E63D21" w:rsidRPr="004F3291">
        <w:rPr>
          <w:rStyle w:val="Strong"/>
        </w:rPr>
        <w:t xml:space="preserve">Applicant </w:t>
      </w:r>
      <w:r w:rsidR="00D20C1F" w:rsidRPr="004F3291">
        <w:rPr>
          <w:rStyle w:val="Strong"/>
        </w:rPr>
        <w:t xml:space="preserve">Capability </w:t>
      </w:r>
      <w:r w:rsidR="00E63D21" w:rsidRPr="004F3291">
        <w:rPr>
          <w:rStyle w:val="Strong"/>
        </w:rPr>
        <w:t>Declaration</w:t>
      </w:r>
    </w:p>
    <w:tbl>
      <w:tblPr>
        <w:tblStyle w:val="GridTable4"/>
        <w:tblW w:w="0" w:type="auto"/>
        <w:tblLook w:val="0680" w:firstRow="0" w:lastRow="0" w:firstColumn="1" w:lastColumn="0" w:noHBand="1" w:noVBand="1"/>
      </w:tblPr>
      <w:tblGrid>
        <w:gridCol w:w="1838"/>
        <w:gridCol w:w="7178"/>
      </w:tblGrid>
      <w:tr w:rsidR="00CA3475" w14:paraId="01F22DC1" w14:textId="77777777" w:rsidTr="005C2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</w:tcPr>
          <w:p w14:paraId="2239C4C5" w14:textId="4E484FC1" w:rsidR="00CA3475" w:rsidRPr="004F3291" w:rsidRDefault="00CA3475" w:rsidP="004F3291">
            <w:pPr>
              <w:spacing w:before="240" w:after="160"/>
              <w:rPr>
                <w:rStyle w:val="Strong"/>
              </w:rPr>
            </w:pPr>
            <w:r w:rsidRPr="004F3291">
              <w:rPr>
                <w:rStyle w:val="Strong"/>
              </w:rPr>
              <w:t>Applicant Name:</w:t>
            </w:r>
          </w:p>
        </w:tc>
        <w:tc>
          <w:tcPr>
            <w:tcW w:w="7178" w:type="dxa"/>
          </w:tcPr>
          <w:p w14:paraId="1D3E8146" w14:textId="52A579DC" w:rsidR="00CA3475" w:rsidRDefault="00F74512" w:rsidP="004F329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80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3807">
              <w:instrText xml:space="preserve"> FORMTEXT </w:instrText>
            </w:r>
            <w:r w:rsidRPr="005E3807">
              <w:fldChar w:fldCharType="separate"/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fldChar w:fldCharType="end"/>
            </w:r>
          </w:p>
        </w:tc>
      </w:tr>
      <w:tr w:rsidR="00CA3475" w14:paraId="4AADFE4F" w14:textId="77777777" w:rsidTr="005C2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</w:tcPr>
          <w:p w14:paraId="42D1F7FD" w14:textId="47288F95" w:rsidR="00CA3475" w:rsidRPr="004F3291" w:rsidRDefault="00CA3475" w:rsidP="004F3291">
            <w:pPr>
              <w:spacing w:before="240" w:after="160"/>
              <w:rPr>
                <w:rStyle w:val="Strong"/>
              </w:rPr>
            </w:pPr>
            <w:r w:rsidRPr="004F3291">
              <w:rPr>
                <w:rStyle w:val="Strong"/>
              </w:rPr>
              <w:t>Applicant ABN:</w:t>
            </w:r>
          </w:p>
        </w:tc>
        <w:tc>
          <w:tcPr>
            <w:tcW w:w="7178" w:type="dxa"/>
          </w:tcPr>
          <w:p w14:paraId="0C238B91" w14:textId="60FFC4FF" w:rsidR="00CA3475" w:rsidRDefault="00F74512" w:rsidP="004F329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80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3807">
              <w:instrText xml:space="preserve"> FORMTEXT </w:instrText>
            </w:r>
            <w:r w:rsidRPr="005E3807">
              <w:fldChar w:fldCharType="separate"/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fldChar w:fldCharType="end"/>
            </w:r>
          </w:p>
        </w:tc>
      </w:tr>
      <w:tr w:rsidR="00CA3475" w14:paraId="6B4213CB" w14:textId="77777777" w:rsidTr="005C23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</w:tcPr>
          <w:p w14:paraId="1002053A" w14:textId="5851AD8A" w:rsidR="00CA3475" w:rsidRPr="004F3291" w:rsidRDefault="00461338" w:rsidP="004F3291">
            <w:pPr>
              <w:spacing w:before="240" w:after="160"/>
              <w:rPr>
                <w:rStyle w:val="Strong"/>
              </w:rPr>
            </w:pPr>
            <w:r>
              <w:rPr>
                <w:rStyle w:val="Strong"/>
              </w:rPr>
              <w:t>Role Type</w:t>
            </w:r>
            <w:r w:rsidR="005A2367">
              <w:rPr>
                <w:rStyle w:val="Strong"/>
              </w:rPr>
              <w:t>(s)</w:t>
            </w:r>
            <w:r w:rsidR="00CA3475" w:rsidRPr="004F3291">
              <w:rPr>
                <w:rStyle w:val="Strong"/>
              </w:rPr>
              <w:t>:</w:t>
            </w:r>
          </w:p>
        </w:tc>
        <w:tc>
          <w:tcPr>
            <w:tcW w:w="7178" w:type="dxa"/>
          </w:tcPr>
          <w:p w14:paraId="388F4475" w14:textId="48FE3FB4" w:rsidR="00CA3475" w:rsidRDefault="00F74512" w:rsidP="004F329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3807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3807">
              <w:instrText xml:space="preserve"> FORMTEXT </w:instrText>
            </w:r>
            <w:r w:rsidRPr="005E3807">
              <w:fldChar w:fldCharType="separate"/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t> </w:t>
            </w:r>
            <w:r w:rsidRPr="005E3807">
              <w:fldChar w:fldCharType="end"/>
            </w:r>
          </w:p>
        </w:tc>
      </w:tr>
    </w:tbl>
    <w:p w14:paraId="32C28959" w14:textId="7D97714C" w:rsidR="004D6ED7" w:rsidRPr="005C23A0" w:rsidRDefault="00D404BE">
      <w:pPr>
        <w:rPr>
          <w:sz w:val="20"/>
          <w:szCs w:val="20"/>
        </w:rPr>
      </w:pPr>
      <w:r w:rsidRPr="005C23A0">
        <w:rPr>
          <w:sz w:val="20"/>
          <w:szCs w:val="20"/>
        </w:rPr>
        <w:t>As a duly authorised representative</w:t>
      </w:r>
      <w:r w:rsidR="004D6ED7" w:rsidRPr="005C23A0">
        <w:rPr>
          <w:sz w:val="20"/>
          <w:szCs w:val="20"/>
        </w:rPr>
        <w:t xml:space="preserve"> of the Applicant</w:t>
      </w:r>
      <w:r w:rsidRPr="005C23A0">
        <w:rPr>
          <w:sz w:val="20"/>
          <w:szCs w:val="20"/>
        </w:rPr>
        <w:t xml:space="preserve">, </w:t>
      </w:r>
      <w:r w:rsidR="004D6ED7" w:rsidRPr="005C23A0">
        <w:rPr>
          <w:sz w:val="20"/>
          <w:szCs w:val="20"/>
        </w:rPr>
        <w:t>I acknowledge that I have read and understand the following statements:</w:t>
      </w:r>
    </w:p>
    <w:p w14:paraId="258A3DDB" w14:textId="267DC604" w:rsidR="004D6ED7" w:rsidRPr="000B1950" w:rsidRDefault="00483D02" w:rsidP="00E108F1">
      <w:pPr>
        <w:pStyle w:val="ListParagraph"/>
        <w:numPr>
          <w:ilvl w:val="0"/>
          <w:numId w:val="2"/>
        </w:numPr>
        <w:ind w:left="425" w:hanging="425"/>
        <w:contextualSpacing w:val="0"/>
      </w:pPr>
      <w:r w:rsidRPr="005C23A0">
        <w:rPr>
          <w:sz w:val="20"/>
          <w:szCs w:val="20"/>
        </w:rPr>
        <w:t>AEMO relies on timely and accurate information and responses from all Registered P</w:t>
      </w:r>
      <w:r w:rsidR="00A70EC1" w:rsidRPr="005C23A0">
        <w:rPr>
          <w:sz w:val="20"/>
          <w:szCs w:val="20"/>
        </w:rPr>
        <w:t xml:space="preserve">articipants in line with their </w:t>
      </w:r>
      <w:r w:rsidRPr="005C23A0">
        <w:rPr>
          <w:sz w:val="20"/>
          <w:szCs w:val="20"/>
        </w:rPr>
        <w:t>obligations</w:t>
      </w:r>
      <w:r w:rsidR="00F0603E">
        <w:rPr>
          <w:sz w:val="20"/>
          <w:szCs w:val="20"/>
        </w:rPr>
        <w:t xml:space="preserve"> </w:t>
      </w:r>
      <w:r w:rsidR="00CD4F39">
        <w:rPr>
          <w:sz w:val="20"/>
          <w:szCs w:val="20"/>
        </w:rPr>
        <w:t xml:space="preserve">under </w:t>
      </w:r>
      <w:r w:rsidR="002309A9">
        <w:rPr>
          <w:sz w:val="20"/>
          <w:szCs w:val="20"/>
        </w:rPr>
        <w:t xml:space="preserve">the National </w:t>
      </w:r>
      <w:r w:rsidR="00D33D3B">
        <w:rPr>
          <w:sz w:val="20"/>
          <w:szCs w:val="20"/>
        </w:rPr>
        <w:t xml:space="preserve">Gas </w:t>
      </w:r>
      <w:r w:rsidR="002309A9">
        <w:rPr>
          <w:sz w:val="20"/>
          <w:szCs w:val="20"/>
        </w:rPr>
        <w:t>Rules (</w:t>
      </w:r>
      <w:r w:rsidR="00D33D3B">
        <w:rPr>
          <w:sz w:val="20"/>
          <w:szCs w:val="20"/>
        </w:rPr>
        <w:t>NGR</w:t>
      </w:r>
      <w:r w:rsidR="002309A9">
        <w:rPr>
          <w:sz w:val="20"/>
          <w:szCs w:val="20"/>
        </w:rPr>
        <w:t>)</w:t>
      </w:r>
      <w:r w:rsidRPr="005C23A0">
        <w:rPr>
          <w:sz w:val="20"/>
          <w:szCs w:val="20"/>
        </w:rPr>
        <w:t xml:space="preserve">. </w:t>
      </w:r>
      <w:r w:rsidRPr="000B1950">
        <w:rPr>
          <w:sz w:val="20"/>
          <w:szCs w:val="20"/>
        </w:rPr>
        <w:t xml:space="preserve">Failure to do this can cause </w:t>
      </w:r>
      <w:r w:rsidR="00D33D3B">
        <w:rPr>
          <w:sz w:val="20"/>
          <w:szCs w:val="20"/>
        </w:rPr>
        <w:t xml:space="preserve">threats to system security and </w:t>
      </w:r>
      <w:r w:rsidRPr="000B1950">
        <w:rPr>
          <w:sz w:val="20"/>
          <w:szCs w:val="20"/>
        </w:rPr>
        <w:t xml:space="preserve">significant </w:t>
      </w:r>
      <w:r w:rsidR="00121E81" w:rsidRPr="000B1950">
        <w:rPr>
          <w:sz w:val="20"/>
          <w:szCs w:val="20"/>
        </w:rPr>
        <w:t>additional costs for the market.</w:t>
      </w:r>
      <w:r w:rsidR="00F0603E" w:rsidRPr="00F0603E">
        <w:rPr>
          <w:rStyle w:val="FootnoteReference"/>
          <w:sz w:val="20"/>
          <w:szCs w:val="20"/>
        </w:rPr>
        <w:t xml:space="preserve"> </w:t>
      </w:r>
    </w:p>
    <w:p w14:paraId="125DAC07" w14:textId="07DC87F7" w:rsidR="006A2C86" w:rsidRPr="000B1950" w:rsidRDefault="00121E81" w:rsidP="004450DB">
      <w:pPr>
        <w:pStyle w:val="ListParagraph"/>
        <w:numPr>
          <w:ilvl w:val="0"/>
          <w:numId w:val="2"/>
        </w:numPr>
        <w:ind w:left="425" w:hanging="425"/>
        <w:contextualSpacing w:val="0"/>
      </w:pPr>
      <w:r w:rsidRPr="005C23A0">
        <w:rPr>
          <w:sz w:val="20"/>
          <w:szCs w:val="20"/>
        </w:rPr>
        <w:t xml:space="preserve">The Australian Energy Regulator (AER) monitors and enforces compliance with the </w:t>
      </w:r>
      <w:r w:rsidR="00D33D3B">
        <w:rPr>
          <w:sz w:val="20"/>
          <w:szCs w:val="20"/>
        </w:rPr>
        <w:t>NGR</w:t>
      </w:r>
      <w:r w:rsidR="00D33D3B" w:rsidRPr="005C23A0">
        <w:rPr>
          <w:sz w:val="20"/>
          <w:szCs w:val="20"/>
        </w:rPr>
        <w:t xml:space="preserve"> </w:t>
      </w:r>
      <w:r w:rsidRPr="005C23A0">
        <w:rPr>
          <w:sz w:val="20"/>
          <w:szCs w:val="20"/>
        </w:rPr>
        <w:t>and AEMO may report identified or suspected non-conformance to the AER.</w:t>
      </w:r>
    </w:p>
    <w:p w14:paraId="34691380" w14:textId="6FED9850" w:rsidR="00E63D21" w:rsidRPr="005C23A0" w:rsidRDefault="00CD4F39" w:rsidP="004D6ED7">
      <w:pPr>
        <w:pStyle w:val="ListParagraph"/>
        <w:numPr>
          <w:ilvl w:val="0"/>
          <w:numId w:val="2"/>
        </w:numPr>
        <w:ind w:left="425" w:hanging="425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As examples, some of the </w:t>
      </w:r>
      <w:r w:rsidR="006A2C86" w:rsidRPr="005C23A0">
        <w:rPr>
          <w:sz w:val="20"/>
          <w:szCs w:val="20"/>
        </w:rPr>
        <w:t xml:space="preserve">capabilities </w:t>
      </w:r>
      <w:r w:rsidR="00CF0D46" w:rsidRPr="005C23A0">
        <w:rPr>
          <w:sz w:val="20"/>
          <w:szCs w:val="20"/>
        </w:rPr>
        <w:t xml:space="preserve">required for </w:t>
      </w:r>
      <w:r w:rsidR="00D33D3B">
        <w:rPr>
          <w:sz w:val="20"/>
          <w:szCs w:val="20"/>
        </w:rPr>
        <w:t xml:space="preserve">DWGM </w:t>
      </w:r>
      <w:r w:rsidR="000C1672">
        <w:rPr>
          <w:sz w:val="20"/>
          <w:szCs w:val="20"/>
        </w:rPr>
        <w:t>p</w:t>
      </w:r>
      <w:r w:rsidR="00D33D3B">
        <w:rPr>
          <w:sz w:val="20"/>
          <w:szCs w:val="20"/>
        </w:rPr>
        <w:t>articipants</w:t>
      </w:r>
      <w:r w:rsidR="00D33D3B">
        <w:rPr>
          <w:rStyle w:val="FootnoteReference"/>
          <w:sz w:val="20"/>
          <w:szCs w:val="20"/>
        </w:rPr>
        <w:footnoteReference w:id="1"/>
      </w:r>
      <w:r w:rsidR="00CF0D46" w:rsidRPr="005C23A0">
        <w:rPr>
          <w:sz w:val="20"/>
          <w:szCs w:val="20"/>
        </w:rPr>
        <w:t xml:space="preserve"> to meet their</w:t>
      </w:r>
      <w:r w:rsidR="006A2C86" w:rsidRPr="005C23A0">
        <w:rPr>
          <w:sz w:val="20"/>
          <w:szCs w:val="20"/>
        </w:rPr>
        <w:t xml:space="preserve"> </w:t>
      </w:r>
      <w:r w:rsidR="00D33D3B">
        <w:rPr>
          <w:sz w:val="20"/>
          <w:szCs w:val="20"/>
        </w:rPr>
        <w:t>NGR</w:t>
      </w:r>
      <w:r w:rsidR="00D33D3B" w:rsidRPr="005C23A0">
        <w:rPr>
          <w:sz w:val="20"/>
          <w:szCs w:val="20"/>
        </w:rPr>
        <w:t xml:space="preserve"> </w:t>
      </w:r>
      <w:r w:rsidR="006A2C86" w:rsidRPr="005C23A0">
        <w:rPr>
          <w:sz w:val="20"/>
          <w:szCs w:val="20"/>
        </w:rPr>
        <w:t>obligations</w:t>
      </w:r>
      <w:r>
        <w:rPr>
          <w:sz w:val="20"/>
          <w:szCs w:val="20"/>
        </w:rPr>
        <w:t xml:space="preserve"> are</w:t>
      </w:r>
      <w:r w:rsidR="00E70CA2" w:rsidRPr="005C23A0">
        <w:rPr>
          <w:sz w:val="20"/>
          <w:szCs w:val="20"/>
        </w:rPr>
        <w:t>:</w:t>
      </w:r>
    </w:p>
    <w:p w14:paraId="6649F81D" w14:textId="2F9270FF" w:rsidR="00CF0D46" w:rsidRPr="005C23A0" w:rsidRDefault="009F0411" w:rsidP="004B121C">
      <w:pPr>
        <w:pStyle w:val="ListParagraph"/>
        <w:numPr>
          <w:ilvl w:val="0"/>
          <w:numId w:val="1"/>
        </w:numPr>
        <w:ind w:hanging="294"/>
        <w:rPr>
          <w:sz w:val="20"/>
          <w:szCs w:val="20"/>
        </w:rPr>
      </w:pPr>
      <w:bookmarkStart w:id="0" w:name="_Hlk525650502"/>
      <w:bookmarkStart w:id="1" w:name="_Hlk524516164"/>
      <w:r>
        <w:rPr>
          <w:sz w:val="20"/>
          <w:szCs w:val="20"/>
        </w:rPr>
        <w:t>U</w:t>
      </w:r>
      <w:r w:rsidR="0077063A" w:rsidRPr="005C23A0">
        <w:rPr>
          <w:sz w:val="20"/>
          <w:szCs w:val="20"/>
        </w:rPr>
        <w:t xml:space="preserve">nderstanding </w:t>
      </w:r>
      <w:r w:rsidR="00CA1816">
        <w:rPr>
          <w:sz w:val="20"/>
          <w:szCs w:val="20"/>
        </w:rPr>
        <w:t xml:space="preserve">the following </w:t>
      </w:r>
      <w:r w:rsidR="00890C15">
        <w:rPr>
          <w:sz w:val="20"/>
          <w:szCs w:val="20"/>
        </w:rPr>
        <w:t>requirement</w:t>
      </w:r>
      <w:r w:rsidR="0058114D">
        <w:rPr>
          <w:sz w:val="20"/>
          <w:szCs w:val="20"/>
        </w:rPr>
        <w:t>s (as applicable)</w:t>
      </w:r>
      <w:r w:rsidR="00CF0D46" w:rsidRPr="005C23A0">
        <w:rPr>
          <w:sz w:val="20"/>
          <w:szCs w:val="20"/>
        </w:rPr>
        <w:t>:</w:t>
      </w:r>
    </w:p>
    <w:p w14:paraId="33409240" w14:textId="6FC7A62D" w:rsidR="00CB6147" w:rsidRDefault="0058114D" w:rsidP="004B121C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>for a Market Participant to submit b</w:t>
      </w:r>
      <w:r w:rsidR="00CB6147">
        <w:rPr>
          <w:sz w:val="20"/>
          <w:szCs w:val="20"/>
        </w:rPr>
        <w:t>ids or demand forecast</w:t>
      </w:r>
      <w:r w:rsidR="00684B91">
        <w:rPr>
          <w:sz w:val="20"/>
          <w:szCs w:val="20"/>
        </w:rPr>
        <w:t>s</w:t>
      </w:r>
      <w:r w:rsidR="00CB6147">
        <w:rPr>
          <w:sz w:val="20"/>
          <w:szCs w:val="20"/>
        </w:rPr>
        <w:t xml:space="preserve"> </w:t>
      </w:r>
      <w:r w:rsidR="00684B91">
        <w:rPr>
          <w:sz w:val="20"/>
          <w:szCs w:val="20"/>
        </w:rPr>
        <w:t xml:space="preserve">in accordance with </w:t>
      </w:r>
      <w:r w:rsidR="00CB6147">
        <w:rPr>
          <w:sz w:val="20"/>
          <w:szCs w:val="20"/>
        </w:rPr>
        <w:t>NGR</w:t>
      </w:r>
      <w:r w:rsidR="009F0411">
        <w:rPr>
          <w:sz w:val="20"/>
          <w:szCs w:val="20"/>
        </w:rPr>
        <w:t xml:space="preserve"> </w:t>
      </w:r>
      <w:r w:rsidR="00CB6147">
        <w:rPr>
          <w:sz w:val="20"/>
          <w:szCs w:val="20"/>
        </w:rPr>
        <w:t>20</w:t>
      </w:r>
      <w:r w:rsidR="00684B91">
        <w:rPr>
          <w:sz w:val="20"/>
          <w:szCs w:val="20"/>
        </w:rPr>
        <w:t>8, 209 and 211</w:t>
      </w:r>
      <w:r w:rsidR="00CB6147">
        <w:rPr>
          <w:sz w:val="20"/>
          <w:szCs w:val="20"/>
        </w:rPr>
        <w:t>.</w:t>
      </w:r>
    </w:p>
    <w:p w14:paraId="36B2AECD" w14:textId="593F0548" w:rsidR="00CB6147" w:rsidRDefault="0058114D" w:rsidP="004B121C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 xml:space="preserve">for a Market Participant to apply for accreditation of controllable quantities in accordance with NGR 210 if a Market Participant wishes to </w:t>
      </w:r>
      <w:r w:rsidR="00CB6147">
        <w:rPr>
          <w:sz w:val="20"/>
          <w:szCs w:val="20"/>
        </w:rPr>
        <w:t xml:space="preserve">utilise controllable </w:t>
      </w:r>
      <w:r>
        <w:rPr>
          <w:sz w:val="20"/>
          <w:szCs w:val="20"/>
        </w:rPr>
        <w:t xml:space="preserve">quantities for the purpose of receiving any ancillary payments resulting from scheduling </w:t>
      </w:r>
      <w:r w:rsidR="00CB6147">
        <w:rPr>
          <w:sz w:val="20"/>
          <w:szCs w:val="20"/>
        </w:rPr>
        <w:t>injections or withdrawal</w:t>
      </w:r>
      <w:r>
        <w:rPr>
          <w:sz w:val="20"/>
          <w:szCs w:val="20"/>
        </w:rPr>
        <w:t xml:space="preserve"> bids submitted in respect of a system withdrawal point or system injection point</w:t>
      </w:r>
      <w:r w:rsidR="00CB6147">
        <w:rPr>
          <w:sz w:val="20"/>
          <w:szCs w:val="20"/>
        </w:rPr>
        <w:t xml:space="preserve">. </w:t>
      </w:r>
    </w:p>
    <w:p w14:paraId="58B5F93B" w14:textId="6F5F3738" w:rsidR="00CF0D46" w:rsidRPr="005C23A0" w:rsidRDefault="0058114D" w:rsidP="004B121C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 xml:space="preserve">for a Market Participant </w:t>
      </w:r>
      <w:r w:rsidR="00CA1816">
        <w:rPr>
          <w:sz w:val="20"/>
          <w:szCs w:val="20"/>
        </w:rPr>
        <w:t xml:space="preserve">to immediately notify </w:t>
      </w:r>
      <w:r w:rsidR="00A86D6D">
        <w:rPr>
          <w:sz w:val="20"/>
          <w:szCs w:val="20"/>
        </w:rPr>
        <w:t>AEMO, as required by NGR</w:t>
      </w:r>
      <w:r w:rsidR="009F0411">
        <w:rPr>
          <w:sz w:val="20"/>
          <w:szCs w:val="20"/>
        </w:rPr>
        <w:t xml:space="preserve"> </w:t>
      </w:r>
      <w:r w:rsidR="00A86D6D">
        <w:rPr>
          <w:sz w:val="20"/>
          <w:szCs w:val="20"/>
        </w:rPr>
        <w:t xml:space="preserve">213(4), if it </w:t>
      </w:r>
      <w:r w:rsidRPr="00CA1816">
        <w:rPr>
          <w:sz w:val="20"/>
          <w:szCs w:val="20"/>
        </w:rPr>
        <w:t>knows or believes that it will not, or that it is unlikely to be able to</w:t>
      </w:r>
      <w:r w:rsidR="00CA1816" w:rsidRPr="00CA1816">
        <w:rPr>
          <w:sz w:val="20"/>
          <w:szCs w:val="20"/>
        </w:rPr>
        <w:t xml:space="preserve"> </w:t>
      </w:r>
      <w:r w:rsidR="00A86D6D">
        <w:rPr>
          <w:sz w:val="20"/>
          <w:szCs w:val="20"/>
        </w:rPr>
        <w:t>materially comply with its scheduling instruction</w:t>
      </w:r>
      <w:r w:rsidR="009211F3">
        <w:rPr>
          <w:sz w:val="20"/>
          <w:szCs w:val="20"/>
        </w:rPr>
        <w:t>.</w:t>
      </w:r>
    </w:p>
    <w:p w14:paraId="5C2B6BD1" w14:textId="3A290EAA" w:rsidR="007E0E64" w:rsidRPr="005C23A0" w:rsidRDefault="0077063A" w:rsidP="004B121C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>m</w:t>
      </w:r>
      <w:r w:rsidRPr="005C23A0">
        <w:rPr>
          <w:sz w:val="20"/>
          <w:szCs w:val="20"/>
        </w:rPr>
        <w:t>anag</w:t>
      </w:r>
      <w:r w:rsidR="00A86D6D">
        <w:rPr>
          <w:sz w:val="20"/>
          <w:szCs w:val="20"/>
        </w:rPr>
        <w:t>e</w:t>
      </w:r>
      <w:r w:rsidRPr="005C23A0">
        <w:rPr>
          <w:sz w:val="20"/>
          <w:szCs w:val="20"/>
        </w:rPr>
        <w:t xml:space="preserve"> </w:t>
      </w:r>
      <w:r w:rsidR="00D33D3B">
        <w:rPr>
          <w:sz w:val="20"/>
          <w:szCs w:val="20"/>
        </w:rPr>
        <w:t>facility operator nominations to meet scheduled quantities</w:t>
      </w:r>
      <w:r w:rsidR="00C44BE7" w:rsidRPr="005C23A0">
        <w:rPr>
          <w:sz w:val="20"/>
          <w:szCs w:val="20"/>
        </w:rPr>
        <w:t>, including:</w:t>
      </w:r>
    </w:p>
    <w:p w14:paraId="3DBCA804" w14:textId="539E4B9D" w:rsidR="00D33D3B" w:rsidRDefault="00D33D3B" w:rsidP="004B121C">
      <w:pPr>
        <w:pStyle w:val="ListParagraph"/>
        <w:numPr>
          <w:ilvl w:val="2"/>
          <w:numId w:val="1"/>
        </w:numPr>
        <w:ind w:left="1560" w:hanging="284"/>
        <w:rPr>
          <w:sz w:val="20"/>
          <w:szCs w:val="20"/>
        </w:rPr>
      </w:pPr>
      <w:r>
        <w:rPr>
          <w:sz w:val="20"/>
          <w:szCs w:val="20"/>
        </w:rPr>
        <w:t xml:space="preserve">extracting AEMO scheduling reports from the Market Information Bulletin </w:t>
      </w:r>
      <w:proofErr w:type="gramStart"/>
      <w:r>
        <w:rPr>
          <w:sz w:val="20"/>
          <w:szCs w:val="20"/>
        </w:rPr>
        <w:t>Board;</w:t>
      </w:r>
      <w:proofErr w:type="gramEnd"/>
    </w:p>
    <w:p w14:paraId="7AC7AE42" w14:textId="6FA99D61" w:rsidR="00D33D3B" w:rsidRDefault="00D33D3B" w:rsidP="004B121C">
      <w:pPr>
        <w:pStyle w:val="ListParagraph"/>
        <w:numPr>
          <w:ilvl w:val="2"/>
          <w:numId w:val="1"/>
        </w:numPr>
        <w:ind w:left="1560" w:hanging="284"/>
        <w:rPr>
          <w:sz w:val="20"/>
          <w:szCs w:val="20"/>
        </w:rPr>
      </w:pPr>
      <w:r>
        <w:rPr>
          <w:sz w:val="20"/>
          <w:szCs w:val="20"/>
        </w:rPr>
        <w:t xml:space="preserve">receiving and acting on System Wide Notices about market </w:t>
      </w:r>
      <w:proofErr w:type="gramStart"/>
      <w:r>
        <w:rPr>
          <w:sz w:val="20"/>
          <w:szCs w:val="20"/>
        </w:rPr>
        <w:t>events;</w:t>
      </w:r>
      <w:proofErr w:type="gramEnd"/>
    </w:p>
    <w:p w14:paraId="0122BAAB" w14:textId="1238EEDF" w:rsidR="007E0E64" w:rsidRPr="005C23A0" w:rsidRDefault="00D33D3B" w:rsidP="004B121C">
      <w:pPr>
        <w:pStyle w:val="ListParagraph"/>
        <w:numPr>
          <w:ilvl w:val="2"/>
          <w:numId w:val="1"/>
        </w:numPr>
        <w:ind w:left="1560" w:hanging="284"/>
        <w:rPr>
          <w:sz w:val="20"/>
          <w:szCs w:val="20"/>
        </w:rPr>
      </w:pPr>
      <w:r>
        <w:rPr>
          <w:sz w:val="20"/>
          <w:szCs w:val="20"/>
        </w:rPr>
        <w:t>nominating schedules quantities to DWGGM facility operators</w:t>
      </w:r>
      <w:r w:rsidR="0077063A">
        <w:rPr>
          <w:sz w:val="20"/>
          <w:szCs w:val="20"/>
        </w:rPr>
        <w:t>; and</w:t>
      </w:r>
    </w:p>
    <w:p w14:paraId="6E37218B" w14:textId="6C4921C2" w:rsidR="00B76DF4" w:rsidRPr="005C23A0" w:rsidRDefault="00D33D3B" w:rsidP="004B121C">
      <w:pPr>
        <w:pStyle w:val="ListParagraph"/>
        <w:numPr>
          <w:ilvl w:val="2"/>
          <w:numId w:val="1"/>
        </w:numPr>
        <w:ind w:left="1560" w:hanging="284"/>
        <w:rPr>
          <w:sz w:val="20"/>
          <w:szCs w:val="20"/>
        </w:rPr>
      </w:pPr>
      <w:r>
        <w:rPr>
          <w:sz w:val="20"/>
          <w:szCs w:val="20"/>
        </w:rPr>
        <w:t xml:space="preserve">managing AMDQ and AMDQ CC (if any) for tie breaking purposes. </w:t>
      </w:r>
    </w:p>
    <w:bookmarkEnd w:id="0"/>
    <w:p w14:paraId="7B847A62" w14:textId="42224FE9" w:rsidR="00AB7F6E" w:rsidRDefault="00890C15" w:rsidP="00890C15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>manage</w:t>
      </w:r>
      <w:r w:rsidR="0077063A" w:rsidRPr="004F3291">
        <w:rPr>
          <w:sz w:val="20"/>
          <w:szCs w:val="20"/>
        </w:rPr>
        <w:t xml:space="preserve"> </w:t>
      </w:r>
      <w:r w:rsidR="00D33D3B">
        <w:rPr>
          <w:sz w:val="20"/>
          <w:szCs w:val="20"/>
        </w:rPr>
        <w:t>ancillary payments and the uplift</w:t>
      </w:r>
      <w:r w:rsidR="00A86D6D">
        <w:rPr>
          <w:sz w:val="20"/>
          <w:szCs w:val="20"/>
        </w:rPr>
        <w:t xml:space="preserve"> processes</w:t>
      </w:r>
      <w:r w:rsidR="003F119D">
        <w:rPr>
          <w:sz w:val="20"/>
          <w:szCs w:val="20"/>
        </w:rPr>
        <w:t>.</w:t>
      </w:r>
    </w:p>
    <w:p w14:paraId="396069EC" w14:textId="2F1F36EF" w:rsidR="004605E2" w:rsidRDefault="00F36265" w:rsidP="00890C15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 w:rsidRPr="00F36265">
        <w:rPr>
          <w:sz w:val="20"/>
          <w:szCs w:val="20"/>
        </w:rPr>
        <w:t>each Market Participant who appoints an Allocation Agent or Sub-Allocation Agent must for the term of that appointment ensure that the Allocation Agent or Sub-Allocation Agent co</w:t>
      </w:r>
      <w:r>
        <w:rPr>
          <w:sz w:val="20"/>
          <w:szCs w:val="20"/>
        </w:rPr>
        <w:t xml:space="preserve">mplies with the provisions of </w:t>
      </w:r>
      <w:r w:rsidRPr="00F36265">
        <w:rPr>
          <w:sz w:val="20"/>
          <w:szCs w:val="20"/>
        </w:rPr>
        <w:t>Subdivision</w:t>
      </w:r>
      <w:r w:rsidR="000E223D">
        <w:rPr>
          <w:sz w:val="20"/>
          <w:szCs w:val="20"/>
        </w:rPr>
        <w:t xml:space="preserve"> 5 of Part 19 of the NGR</w:t>
      </w:r>
      <w:r w:rsidRPr="00F36265">
        <w:rPr>
          <w:sz w:val="20"/>
          <w:szCs w:val="20"/>
        </w:rPr>
        <w:t>.</w:t>
      </w:r>
    </w:p>
    <w:p w14:paraId="0C56831F" w14:textId="123217F8" w:rsidR="00440A9F" w:rsidRPr="005C23A0" w:rsidRDefault="005E3FE7" w:rsidP="00440A9F">
      <w:pPr>
        <w:pStyle w:val="ListParagraph"/>
        <w:numPr>
          <w:ilvl w:val="0"/>
          <w:numId w:val="1"/>
        </w:numPr>
        <w:ind w:hanging="294"/>
        <w:rPr>
          <w:sz w:val="20"/>
          <w:szCs w:val="20"/>
        </w:rPr>
      </w:pPr>
      <w:r>
        <w:rPr>
          <w:sz w:val="20"/>
          <w:szCs w:val="20"/>
        </w:rPr>
        <w:t>u</w:t>
      </w:r>
      <w:r w:rsidR="00440A9F">
        <w:rPr>
          <w:sz w:val="20"/>
          <w:szCs w:val="20"/>
        </w:rPr>
        <w:t xml:space="preserve">nderstanding the operation of market </w:t>
      </w:r>
      <w:r w:rsidR="00440A9F" w:rsidRPr="005C23A0">
        <w:rPr>
          <w:sz w:val="20"/>
          <w:szCs w:val="20"/>
        </w:rPr>
        <w:t>systems, including:</w:t>
      </w:r>
    </w:p>
    <w:p w14:paraId="6DF0E864" w14:textId="2CE83B5F" w:rsidR="00440A9F" w:rsidRPr="005C23A0" w:rsidRDefault="00440A9F" w:rsidP="00440A9F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>Webexchanger (WEX</w:t>
      </w:r>
      <w:proofErr w:type="gramStart"/>
      <w:r>
        <w:rPr>
          <w:sz w:val="20"/>
          <w:szCs w:val="20"/>
        </w:rPr>
        <w:t>);</w:t>
      </w:r>
      <w:proofErr w:type="gramEnd"/>
    </w:p>
    <w:p w14:paraId="4E104401" w14:textId="5835FFA1" w:rsidR="00440A9F" w:rsidRPr="005C23A0" w:rsidRDefault="00440A9F" w:rsidP="00440A9F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>Market Information Bulletin Board (MIBB) (and reports published therein); and</w:t>
      </w:r>
    </w:p>
    <w:p w14:paraId="610DC7FB" w14:textId="31339EDD" w:rsidR="00440A9F" w:rsidRPr="005C23A0" w:rsidRDefault="00440A9F" w:rsidP="00440A9F">
      <w:pPr>
        <w:pStyle w:val="ListParagraph"/>
        <w:numPr>
          <w:ilvl w:val="1"/>
          <w:numId w:val="1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>m</w:t>
      </w:r>
      <w:r w:rsidRPr="005C23A0">
        <w:rPr>
          <w:sz w:val="20"/>
          <w:szCs w:val="20"/>
        </w:rPr>
        <w:t xml:space="preserve">anaging </w:t>
      </w:r>
      <w:r>
        <w:rPr>
          <w:sz w:val="20"/>
          <w:szCs w:val="20"/>
        </w:rPr>
        <w:t>the relevant facility operators</w:t>
      </w:r>
      <w:r w:rsidR="00FC3872">
        <w:rPr>
          <w:sz w:val="20"/>
          <w:szCs w:val="20"/>
        </w:rPr>
        <w:t xml:space="preserve"> operating requirements</w:t>
      </w:r>
      <w:r w:rsidRPr="005C23A0">
        <w:rPr>
          <w:sz w:val="20"/>
          <w:szCs w:val="20"/>
        </w:rPr>
        <w:t>, including:</w:t>
      </w:r>
    </w:p>
    <w:p w14:paraId="4C8852E0" w14:textId="287CF4E7" w:rsidR="00440A9F" w:rsidRDefault="00440A9F" w:rsidP="00440A9F">
      <w:pPr>
        <w:pStyle w:val="ListParagraph"/>
        <w:numPr>
          <w:ilvl w:val="2"/>
          <w:numId w:val="1"/>
        </w:numPr>
        <w:ind w:left="1560" w:hanging="284"/>
        <w:rPr>
          <w:sz w:val="20"/>
          <w:szCs w:val="20"/>
        </w:rPr>
      </w:pPr>
      <w:r>
        <w:rPr>
          <w:sz w:val="20"/>
          <w:szCs w:val="20"/>
        </w:rPr>
        <w:t>s</w:t>
      </w:r>
      <w:r w:rsidRPr="005C23A0">
        <w:rPr>
          <w:sz w:val="20"/>
          <w:szCs w:val="20"/>
        </w:rPr>
        <w:t xml:space="preserve">ubmitting </w:t>
      </w:r>
      <w:r>
        <w:rPr>
          <w:sz w:val="20"/>
          <w:szCs w:val="20"/>
        </w:rPr>
        <w:t>pipeline nominations and intraday renominations (if appropriate); and</w:t>
      </w:r>
    </w:p>
    <w:p w14:paraId="6F731DF8" w14:textId="6E3BB45C" w:rsidR="00440A9F" w:rsidRPr="00440A9F" w:rsidRDefault="00440A9F" w:rsidP="00440A9F">
      <w:pPr>
        <w:pStyle w:val="ListParagraph"/>
        <w:numPr>
          <w:ilvl w:val="2"/>
          <w:numId w:val="1"/>
        </w:numPr>
        <w:ind w:left="1560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gas allocation agreement</w:t>
      </w:r>
      <w:r w:rsidR="00FC3872">
        <w:rPr>
          <w:sz w:val="20"/>
          <w:szCs w:val="20"/>
        </w:rPr>
        <w:t xml:space="preserve"> requirements.</w:t>
      </w:r>
    </w:p>
    <w:p w14:paraId="2543EB3E" w14:textId="2A362D1B" w:rsidR="005E4D51" w:rsidRPr="00FD6455" w:rsidRDefault="00FD6455" w:rsidP="00FD6455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comply</w:t>
      </w:r>
      <w:r w:rsidR="009211F3">
        <w:rPr>
          <w:sz w:val="20"/>
          <w:szCs w:val="20"/>
        </w:rPr>
        <w:t>ing</w:t>
      </w:r>
      <w:r>
        <w:rPr>
          <w:sz w:val="20"/>
          <w:szCs w:val="20"/>
        </w:rPr>
        <w:t xml:space="preserve"> with </w:t>
      </w:r>
      <w:r w:rsidR="005E4D51" w:rsidRPr="00FD6455">
        <w:rPr>
          <w:sz w:val="20"/>
          <w:szCs w:val="20"/>
        </w:rPr>
        <w:t xml:space="preserve">NGR 336(1) </w:t>
      </w:r>
      <w:r>
        <w:rPr>
          <w:sz w:val="20"/>
          <w:szCs w:val="20"/>
        </w:rPr>
        <w:t xml:space="preserve">which </w:t>
      </w:r>
      <w:r w:rsidR="005E4D51" w:rsidRPr="00FD6455">
        <w:rPr>
          <w:sz w:val="20"/>
          <w:szCs w:val="20"/>
        </w:rPr>
        <w:t xml:space="preserve">requires each </w:t>
      </w:r>
      <w:r w:rsidRPr="00FD6455">
        <w:rPr>
          <w:sz w:val="20"/>
          <w:szCs w:val="20"/>
        </w:rPr>
        <w:t xml:space="preserve">Registered participant </w:t>
      </w:r>
      <w:r w:rsidR="00CA1816">
        <w:rPr>
          <w:sz w:val="20"/>
          <w:szCs w:val="20"/>
        </w:rPr>
        <w:t xml:space="preserve">to </w:t>
      </w:r>
      <w:r w:rsidRPr="00FD6455">
        <w:rPr>
          <w:sz w:val="20"/>
          <w:szCs w:val="20"/>
        </w:rPr>
        <w:t>ensure that all of its relevant officers and staff and, where relevant, its Customers, are familiar with the emergency protocol and the Registered participant's safety plan or safety procedures</w:t>
      </w:r>
      <w:r w:rsidR="005E4D51" w:rsidRPr="00FD6455">
        <w:rPr>
          <w:sz w:val="20"/>
          <w:szCs w:val="20"/>
        </w:rPr>
        <w:t>.</w:t>
      </w:r>
    </w:p>
    <w:p w14:paraId="36F5FBB6" w14:textId="5D916451" w:rsidR="00D33D3B" w:rsidRDefault="00D33D3B" w:rsidP="004B121C">
      <w:pPr>
        <w:pStyle w:val="ListParagraph"/>
        <w:numPr>
          <w:ilvl w:val="0"/>
          <w:numId w:val="1"/>
        </w:numPr>
        <w:ind w:hanging="294"/>
        <w:rPr>
          <w:sz w:val="20"/>
          <w:szCs w:val="20"/>
        </w:rPr>
      </w:pPr>
      <w:r>
        <w:rPr>
          <w:sz w:val="20"/>
          <w:szCs w:val="20"/>
        </w:rPr>
        <w:t xml:space="preserve">understanding </w:t>
      </w:r>
      <w:r w:rsidR="003F119D">
        <w:rPr>
          <w:sz w:val="20"/>
          <w:szCs w:val="20"/>
        </w:rPr>
        <w:t xml:space="preserve">gas quality </w:t>
      </w:r>
      <w:r w:rsidR="00CA1816">
        <w:rPr>
          <w:sz w:val="20"/>
          <w:szCs w:val="20"/>
        </w:rPr>
        <w:t>specifications</w:t>
      </w:r>
      <w:r w:rsidR="00A86D6D">
        <w:rPr>
          <w:sz w:val="20"/>
          <w:szCs w:val="20"/>
        </w:rPr>
        <w:t>, the gas quality monitoring framework</w:t>
      </w:r>
      <w:r w:rsidR="00890C15">
        <w:rPr>
          <w:sz w:val="20"/>
          <w:szCs w:val="20"/>
        </w:rPr>
        <w:t xml:space="preserve"> (NGR</w:t>
      </w:r>
      <w:r w:rsidR="00CA1816">
        <w:rPr>
          <w:sz w:val="20"/>
          <w:szCs w:val="20"/>
        </w:rPr>
        <w:t xml:space="preserve"> </w:t>
      </w:r>
      <w:r w:rsidR="00890C15">
        <w:rPr>
          <w:sz w:val="20"/>
          <w:szCs w:val="20"/>
        </w:rPr>
        <w:t>288)</w:t>
      </w:r>
      <w:r w:rsidR="00A86D6D">
        <w:rPr>
          <w:sz w:val="20"/>
          <w:szCs w:val="20"/>
        </w:rPr>
        <w:t xml:space="preserve"> and</w:t>
      </w:r>
      <w:r w:rsidR="003F119D">
        <w:rPr>
          <w:sz w:val="20"/>
          <w:szCs w:val="20"/>
        </w:rPr>
        <w:t xml:space="preserve"> </w:t>
      </w:r>
      <w:r w:rsidR="00A86D6D">
        <w:rPr>
          <w:sz w:val="20"/>
          <w:szCs w:val="20"/>
        </w:rPr>
        <w:t>gas quality response processes</w:t>
      </w:r>
      <w:r w:rsidR="003F119D">
        <w:rPr>
          <w:sz w:val="20"/>
          <w:szCs w:val="20"/>
        </w:rPr>
        <w:t>; and</w:t>
      </w:r>
    </w:p>
    <w:p w14:paraId="7A0B413D" w14:textId="19334F4D" w:rsidR="00AB7F6E" w:rsidRPr="004F3291" w:rsidRDefault="008C0A80" w:rsidP="004B121C">
      <w:pPr>
        <w:pStyle w:val="ListParagraph"/>
        <w:numPr>
          <w:ilvl w:val="0"/>
          <w:numId w:val="1"/>
        </w:numPr>
        <w:ind w:left="714" w:hanging="294"/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understanding of </w:t>
      </w:r>
      <w:r w:rsidR="00AB7F6E" w:rsidRPr="004F3291">
        <w:rPr>
          <w:sz w:val="20"/>
          <w:szCs w:val="20"/>
        </w:rPr>
        <w:t>settlement</w:t>
      </w:r>
      <w:r>
        <w:rPr>
          <w:sz w:val="20"/>
          <w:szCs w:val="20"/>
        </w:rPr>
        <w:t>s</w:t>
      </w:r>
      <w:r w:rsidR="00AB7F6E" w:rsidRPr="004F329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and prudential information and requirements within the settlement </w:t>
      </w:r>
      <w:r w:rsidR="00AB7F6E" w:rsidRPr="004F3291">
        <w:rPr>
          <w:sz w:val="20"/>
          <w:szCs w:val="20"/>
        </w:rPr>
        <w:t>timetable</w:t>
      </w:r>
      <w:bookmarkEnd w:id="1"/>
      <w:r w:rsidR="004D6ED7" w:rsidRPr="004F3291">
        <w:rPr>
          <w:sz w:val="20"/>
          <w:szCs w:val="20"/>
        </w:rPr>
        <w:t>.</w:t>
      </w:r>
    </w:p>
    <w:p w14:paraId="7144A84B" w14:textId="06E56897" w:rsidR="00A511AC" w:rsidRDefault="00A511AC" w:rsidP="004B121C">
      <w:pPr>
        <w:pStyle w:val="ListParagraph"/>
        <w:numPr>
          <w:ilvl w:val="0"/>
          <w:numId w:val="2"/>
        </w:numPr>
        <w:ind w:left="426" w:hanging="426"/>
        <w:rPr>
          <w:sz w:val="20"/>
          <w:szCs w:val="20"/>
        </w:rPr>
      </w:pPr>
      <w:bookmarkStart w:id="2" w:name="_Hlk7529097"/>
      <w:r w:rsidRPr="00A511AC">
        <w:rPr>
          <w:sz w:val="20"/>
          <w:szCs w:val="20"/>
        </w:rPr>
        <w:t xml:space="preserve">The operation of the </w:t>
      </w:r>
      <w:r w:rsidR="00D33D3B">
        <w:rPr>
          <w:sz w:val="20"/>
          <w:szCs w:val="20"/>
        </w:rPr>
        <w:t xml:space="preserve">Victorian Declared Transmission System (DTS) </w:t>
      </w:r>
      <w:r w:rsidRPr="00A511AC">
        <w:rPr>
          <w:sz w:val="20"/>
          <w:szCs w:val="20"/>
        </w:rPr>
        <w:t xml:space="preserve">requires participants to have robust communication mechanisms and </w:t>
      </w:r>
      <w:r w:rsidR="008B054E">
        <w:rPr>
          <w:sz w:val="20"/>
          <w:szCs w:val="20"/>
        </w:rPr>
        <w:t xml:space="preserve">24-hour </w:t>
      </w:r>
      <w:r w:rsidRPr="00A511AC">
        <w:rPr>
          <w:sz w:val="20"/>
          <w:szCs w:val="20"/>
        </w:rPr>
        <w:t xml:space="preserve">operational </w:t>
      </w:r>
      <w:r w:rsidR="00CD4F39">
        <w:rPr>
          <w:sz w:val="20"/>
          <w:szCs w:val="20"/>
        </w:rPr>
        <w:t xml:space="preserve">response </w:t>
      </w:r>
      <w:r w:rsidRPr="00A511AC">
        <w:rPr>
          <w:sz w:val="20"/>
          <w:szCs w:val="20"/>
        </w:rPr>
        <w:t>capabilities in</w:t>
      </w:r>
      <w:r w:rsidR="00F25B7C">
        <w:rPr>
          <w:sz w:val="20"/>
          <w:szCs w:val="20"/>
        </w:rPr>
        <w:t xml:space="preserve"> </w:t>
      </w:r>
      <w:r w:rsidRPr="00A511AC">
        <w:rPr>
          <w:sz w:val="20"/>
          <w:szCs w:val="20"/>
        </w:rPr>
        <w:t xml:space="preserve">place prior to registration. </w:t>
      </w:r>
      <w:bookmarkStart w:id="3" w:name="_Hlk7530195"/>
      <w:bookmarkEnd w:id="2"/>
      <w:r w:rsidR="004B121C">
        <w:rPr>
          <w:sz w:val="20"/>
          <w:szCs w:val="20"/>
        </w:rPr>
        <w:t xml:space="preserve">Some of the </w:t>
      </w:r>
      <w:r w:rsidRPr="00A511AC">
        <w:rPr>
          <w:sz w:val="20"/>
          <w:szCs w:val="20"/>
        </w:rPr>
        <w:t xml:space="preserve">key </w:t>
      </w:r>
      <w:r w:rsidR="003F119D">
        <w:rPr>
          <w:sz w:val="20"/>
          <w:szCs w:val="20"/>
        </w:rPr>
        <w:t>DWGM participant</w:t>
      </w:r>
      <w:r w:rsidR="00CD4F39">
        <w:rPr>
          <w:sz w:val="20"/>
          <w:szCs w:val="20"/>
        </w:rPr>
        <w:t xml:space="preserve"> </w:t>
      </w:r>
      <w:r w:rsidRPr="00A511AC">
        <w:rPr>
          <w:sz w:val="20"/>
          <w:szCs w:val="20"/>
        </w:rPr>
        <w:t xml:space="preserve">obligations </w:t>
      </w:r>
      <w:r w:rsidR="004B121C">
        <w:rPr>
          <w:sz w:val="20"/>
          <w:szCs w:val="20"/>
        </w:rPr>
        <w:t>include</w:t>
      </w:r>
      <w:r w:rsidRPr="00A511AC">
        <w:rPr>
          <w:sz w:val="20"/>
          <w:szCs w:val="20"/>
        </w:rPr>
        <w:t>:</w:t>
      </w:r>
      <w:bookmarkEnd w:id="3"/>
    </w:p>
    <w:p w14:paraId="794B67D6" w14:textId="4C0776E7" w:rsidR="003F119D" w:rsidRDefault="003F119D" w:rsidP="003F119D">
      <w:pPr>
        <w:pStyle w:val="ListParagraph"/>
        <w:numPr>
          <w:ilvl w:val="2"/>
          <w:numId w:val="2"/>
        </w:numPr>
        <w:ind w:left="1276" w:hanging="425"/>
        <w:rPr>
          <w:sz w:val="20"/>
          <w:szCs w:val="20"/>
        </w:rPr>
      </w:pPr>
      <w:bookmarkStart w:id="4" w:name="_Hlk7530215"/>
      <w:r>
        <w:rPr>
          <w:sz w:val="20"/>
          <w:szCs w:val="20"/>
        </w:rPr>
        <w:t>NGR 33</w:t>
      </w:r>
      <w:r w:rsidR="00CA1816">
        <w:rPr>
          <w:sz w:val="20"/>
          <w:szCs w:val="20"/>
        </w:rPr>
        <w:t>4</w:t>
      </w:r>
      <w:r w:rsidR="00A511AC">
        <w:rPr>
          <w:sz w:val="20"/>
          <w:szCs w:val="20"/>
        </w:rPr>
        <w:t xml:space="preserve"> </w:t>
      </w:r>
      <w:r>
        <w:rPr>
          <w:sz w:val="20"/>
          <w:szCs w:val="20"/>
        </w:rPr>
        <w:t>requires</w:t>
      </w:r>
      <w:r w:rsidR="00A511AC">
        <w:rPr>
          <w:sz w:val="20"/>
          <w:szCs w:val="20"/>
        </w:rPr>
        <w:t xml:space="preserve"> </w:t>
      </w:r>
      <w:r w:rsidR="00CD4F39">
        <w:rPr>
          <w:sz w:val="20"/>
          <w:szCs w:val="20"/>
        </w:rPr>
        <w:t xml:space="preserve">all </w:t>
      </w:r>
      <w:r>
        <w:rPr>
          <w:sz w:val="20"/>
          <w:szCs w:val="20"/>
        </w:rPr>
        <w:t xml:space="preserve">DWGM participants </w:t>
      </w:r>
      <w:r w:rsidR="00A511AC">
        <w:rPr>
          <w:sz w:val="20"/>
          <w:szCs w:val="20"/>
        </w:rPr>
        <w:t>to</w:t>
      </w:r>
      <w:r>
        <w:rPr>
          <w:sz w:val="20"/>
          <w:szCs w:val="20"/>
        </w:rPr>
        <w:t xml:space="preserve"> n</w:t>
      </w:r>
      <w:r w:rsidRPr="00A511AC">
        <w:rPr>
          <w:sz w:val="20"/>
          <w:szCs w:val="20"/>
        </w:rPr>
        <w:t xml:space="preserve">ominate </w:t>
      </w:r>
      <w:r>
        <w:rPr>
          <w:sz w:val="20"/>
          <w:szCs w:val="20"/>
        </w:rPr>
        <w:t>a</w:t>
      </w:r>
      <w:r w:rsidR="00CA1816">
        <w:rPr>
          <w:sz w:val="20"/>
          <w:szCs w:val="20"/>
        </w:rPr>
        <w:t>n</w:t>
      </w:r>
      <w:r>
        <w:rPr>
          <w:sz w:val="20"/>
          <w:szCs w:val="20"/>
        </w:rPr>
        <w:t xml:space="preserve"> Emergency contact who will be contactable 24 hours a day that </w:t>
      </w:r>
      <w:r w:rsidRPr="00525359">
        <w:rPr>
          <w:sz w:val="20"/>
          <w:szCs w:val="20"/>
        </w:rPr>
        <w:t>must be a person having appropriate authority and responsibility within the Registered participant's organisation to act as the primary contact for AEMO in the event of an emergency</w:t>
      </w:r>
      <w:r w:rsidR="009211F3">
        <w:rPr>
          <w:sz w:val="20"/>
          <w:szCs w:val="20"/>
        </w:rPr>
        <w:t>.</w:t>
      </w:r>
    </w:p>
    <w:p w14:paraId="6D24DEE6" w14:textId="4D0A5CE2" w:rsidR="00F53E8B" w:rsidRDefault="00F53E8B" w:rsidP="00F53E8B">
      <w:pPr>
        <w:pStyle w:val="ListParagraph"/>
        <w:numPr>
          <w:ilvl w:val="2"/>
          <w:numId w:val="2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 xml:space="preserve">AEMO may, </w:t>
      </w:r>
      <w:r w:rsidR="00CA1816">
        <w:rPr>
          <w:sz w:val="20"/>
          <w:szCs w:val="20"/>
        </w:rPr>
        <w:t>if AEMO reasonably considers that a t</w:t>
      </w:r>
      <w:r>
        <w:rPr>
          <w:sz w:val="20"/>
          <w:szCs w:val="20"/>
        </w:rPr>
        <w:t xml:space="preserve">hreat to </w:t>
      </w:r>
      <w:r w:rsidR="00CA1816">
        <w:rPr>
          <w:sz w:val="20"/>
          <w:szCs w:val="20"/>
        </w:rPr>
        <w:t>s</w:t>
      </w:r>
      <w:r>
        <w:rPr>
          <w:sz w:val="20"/>
          <w:szCs w:val="20"/>
        </w:rPr>
        <w:t xml:space="preserve">ystem </w:t>
      </w:r>
      <w:r w:rsidR="00CA1816">
        <w:rPr>
          <w:sz w:val="20"/>
          <w:szCs w:val="20"/>
        </w:rPr>
        <w:t>s</w:t>
      </w:r>
      <w:r>
        <w:rPr>
          <w:sz w:val="20"/>
          <w:szCs w:val="20"/>
        </w:rPr>
        <w:t>ecurity</w:t>
      </w:r>
      <w:r w:rsidR="00CA1816">
        <w:rPr>
          <w:sz w:val="20"/>
          <w:szCs w:val="20"/>
        </w:rPr>
        <w:t xml:space="preserve"> is unlikely to subside without intervention</w:t>
      </w:r>
      <w:r>
        <w:rPr>
          <w:sz w:val="20"/>
          <w:szCs w:val="20"/>
        </w:rPr>
        <w:t xml:space="preserve">, direct participants under 91BC of the NGL to undertake actions that </w:t>
      </w:r>
      <w:r w:rsidR="00CA1816" w:rsidRPr="00CA1816">
        <w:rPr>
          <w:sz w:val="20"/>
          <w:szCs w:val="20"/>
        </w:rPr>
        <w:t>AEMO believes are reasonable and necessary to overcome</w:t>
      </w:r>
      <w:r w:rsidR="00CA1816">
        <w:t xml:space="preserve"> </w:t>
      </w:r>
      <w:r>
        <w:rPr>
          <w:sz w:val="20"/>
          <w:szCs w:val="20"/>
        </w:rPr>
        <w:t>the threat</w:t>
      </w:r>
      <w:r w:rsidR="009211F3">
        <w:rPr>
          <w:sz w:val="20"/>
          <w:szCs w:val="20"/>
        </w:rPr>
        <w:t>.</w:t>
      </w:r>
    </w:p>
    <w:p w14:paraId="6CA1016E" w14:textId="20F85D33" w:rsidR="00F53E8B" w:rsidRDefault="00F53E8B" w:rsidP="00F53E8B">
      <w:pPr>
        <w:pStyle w:val="ListParagraph"/>
        <w:numPr>
          <w:ilvl w:val="2"/>
          <w:numId w:val="2"/>
        </w:numPr>
        <w:ind w:left="1276" w:hanging="425"/>
        <w:rPr>
          <w:sz w:val="20"/>
          <w:szCs w:val="20"/>
        </w:rPr>
      </w:pPr>
      <w:r>
        <w:rPr>
          <w:sz w:val="20"/>
          <w:szCs w:val="20"/>
        </w:rPr>
        <w:t>Clause 3.1 of Wholesale Market Electronic Communication Procedures requires Market Participants to provide and maintain operational contacts</w:t>
      </w:r>
      <w:r w:rsidR="00A86D6D">
        <w:rPr>
          <w:sz w:val="20"/>
          <w:szCs w:val="20"/>
        </w:rPr>
        <w:t xml:space="preserve"> (</w:t>
      </w:r>
      <w:r w:rsidR="00890C15">
        <w:rPr>
          <w:sz w:val="20"/>
          <w:szCs w:val="20"/>
        </w:rPr>
        <w:t xml:space="preserve">including </w:t>
      </w:r>
      <w:r w:rsidR="00A86D6D">
        <w:rPr>
          <w:sz w:val="20"/>
          <w:szCs w:val="20"/>
        </w:rPr>
        <w:t xml:space="preserve">24 Hour and Gas Quality </w:t>
      </w:r>
      <w:r w:rsidR="00890C15">
        <w:rPr>
          <w:sz w:val="20"/>
          <w:szCs w:val="20"/>
        </w:rPr>
        <w:t xml:space="preserve">SWN </w:t>
      </w:r>
      <w:r w:rsidR="00A86D6D">
        <w:rPr>
          <w:sz w:val="20"/>
          <w:szCs w:val="20"/>
        </w:rPr>
        <w:t>contacts)</w:t>
      </w:r>
      <w:r>
        <w:rPr>
          <w:sz w:val="20"/>
          <w:szCs w:val="20"/>
        </w:rPr>
        <w:t xml:space="preserve"> responsible for </w:t>
      </w:r>
      <w:r w:rsidR="00890C15">
        <w:rPr>
          <w:sz w:val="20"/>
          <w:szCs w:val="20"/>
        </w:rPr>
        <w:t xml:space="preserve">receiving information and responding in an appropriate manner in response </w:t>
      </w:r>
      <w:r w:rsidR="00A86D6D">
        <w:rPr>
          <w:sz w:val="20"/>
          <w:szCs w:val="20"/>
        </w:rPr>
        <w:t xml:space="preserve">to </w:t>
      </w:r>
      <w:r>
        <w:rPr>
          <w:sz w:val="20"/>
          <w:szCs w:val="20"/>
        </w:rPr>
        <w:t>electronic communicat</w:t>
      </w:r>
      <w:r w:rsidR="00A86D6D">
        <w:rPr>
          <w:sz w:val="20"/>
          <w:szCs w:val="20"/>
        </w:rPr>
        <w:t>i</w:t>
      </w:r>
      <w:r>
        <w:rPr>
          <w:sz w:val="20"/>
          <w:szCs w:val="20"/>
        </w:rPr>
        <w:t>ons</w:t>
      </w:r>
      <w:r w:rsidR="00890C15">
        <w:rPr>
          <w:sz w:val="20"/>
          <w:szCs w:val="20"/>
        </w:rPr>
        <w:t xml:space="preserve"> </w:t>
      </w:r>
      <w:r w:rsidR="00A86D6D">
        <w:rPr>
          <w:sz w:val="20"/>
          <w:szCs w:val="20"/>
        </w:rPr>
        <w:t>(including MIBB reports and System Wide Notices</w:t>
      </w:r>
      <w:r w:rsidR="00890C15">
        <w:rPr>
          <w:sz w:val="20"/>
          <w:szCs w:val="20"/>
        </w:rPr>
        <w:t xml:space="preserve">). </w:t>
      </w:r>
    </w:p>
    <w:bookmarkEnd w:id="4"/>
    <w:p w14:paraId="5034A8C6" w14:textId="6BBA7001" w:rsidR="00440A9F" w:rsidRDefault="00E70CA2" w:rsidP="00440A9F">
      <w:pPr>
        <w:pStyle w:val="ListParagraph"/>
        <w:numPr>
          <w:ilvl w:val="0"/>
          <w:numId w:val="2"/>
        </w:numPr>
        <w:ind w:left="425" w:hanging="425"/>
        <w:contextualSpacing w:val="0"/>
        <w:rPr>
          <w:sz w:val="20"/>
          <w:szCs w:val="20"/>
        </w:rPr>
      </w:pPr>
      <w:r w:rsidRPr="004F3291">
        <w:rPr>
          <w:sz w:val="20"/>
          <w:szCs w:val="20"/>
        </w:rPr>
        <w:t>Th</w:t>
      </w:r>
      <w:r w:rsidR="00CD4F39">
        <w:rPr>
          <w:sz w:val="20"/>
          <w:szCs w:val="20"/>
        </w:rPr>
        <w:t xml:space="preserve">is document </w:t>
      </w:r>
      <w:r w:rsidRPr="004F3291">
        <w:rPr>
          <w:sz w:val="20"/>
          <w:szCs w:val="20"/>
        </w:rPr>
        <w:t>is not a</w:t>
      </w:r>
      <w:r w:rsidR="0020278C">
        <w:rPr>
          <w:sz w:val="20"/>
          <w:szCs w:val="20"/>
        </w:rPr>
        <w:t>n</w:t>
      </w:r>
      <w:r w:rsidRPr="004F3291">
        <w:rPr>
          <w:sz w:val="20"/>
          <w:szCs w:val="20"/>
        </w:rPr>
        <w:t xml:space="preserve"> </w:t>
      </w:r>
      <w:r w:rsidR="0020278C" w:rsidRPr="0020278C">
        <w:rPr>
          <w:sz w:val="20"/>
          <w:szCs w:val="20"/>
        </w:rPr>
        <w:t xml:space="preserve">exhaustive </w:t>
      </w:r>
      <w:r w:rsidRPr="004F3291">
        <w:rPr>
          <w:sz w:val="20"/>
          <w:szCs w:val="20"/>
        </w:rPr>
        <w:t>list</w:t>
      </w:r>
      <w:r w:rsidR="00322132">
        <w:rPr>
          <w:sz w:val="20"/>
          <w:szCs w:val="20"/>
        </w:rPr>
        <w:t xml:space="preserve"> </w:t>
      </w:r>
      <w:r w:rsidR="00CD4F39">
        <w:rPr>
          <w:sz w:val="20"/>
          <w:szCs w:val="20"/>
        </w:rPr>
        <w:t xml:space="preserve">of obligations </w:t>
      </w:r>
      <w:r w:rsidR="00322132">
        <w:rPr>
          <w:sz w:val="20"/>
          <w:szCs w:val="20"/>
        </w:rPr>
        <w:t xml:space="preserve">but </w:t>
      </w:r>
      <w:r w:rsidR="0020278C">
        <w:rPr>
          <w:sz w:val="20"/>
          <w:szCs w:val="20"/>
        </w:rPr>
        <w:t xml:space="preserve">identifies </w:t>
      </w:r>
      <w:r w:rsidR="00322132">
        <w:rPr>
          <w:sz w:val="20"/>
          <w:szCs w:val="20"/>
        </w:rPr>
        <w:t xml:space="preserve">the </w:t>
      </w:r>
      <w:r w:rsidR="00CD4F39">
        <w:rPr>
          <w:sz w:val="20"/>
          <w:szCs w:val="20"/>
        </w:rPr>
        <w:t>general</w:t>
      </w:r>
      <w:r w:rsidR="00322132">
        <w:rPr>
          <w:sz w:val="20"/>
          <w:szCs w:val="20"/>
        </w:rPr>
        <w:t xml:space="preserve"> capabilities</w:t>
      </w:r>
      <w:r w:rsidR="00322132" w:rsidRPr="00322132">
        <w:rPr>
          <w:sz w:val="20"/>
          <w:szCs w:val="20"/>
        </w:rPr>
        <w:t xml:space="preserve"> </w:t>
      </w:r>
      <w:r w:rsidR="0020278C">
        <w:rPr>
          <w:sz w:val="20"/>
          <w:szCs w:val="20"/>
        </w:rPr>
        <w:t xml:space="preserve">Applicants </w:t>
      </w:r>
      <w:r w:rsidR="00322132">
        <w:rPr>
          <w:sz w:val="20"/>
          <w:szCs w:val="20"/>
        </w:rPr>
        <w:t xml:space="preserve">require </w:t>
      </w:r>
      <w:r w:rsidR="00322132" w:rsidRPr="00322132">
        <w:rPr>
          <w:sz w:val="20"/>
          <w:szCs w:val="20"/>
        </w:rPr>
        <w:t>to meet their N</w:t>
      </w:r>
      <w:r w:rsidR="00F53E8B">
        <w:rPr>
          <w:sz w:val="20"/>
          <w:szCs w:val="20"/>
        </w:rPr>
        <w:t>G</w:t>
      </w:r>
      <w:r w:rsidR="00322132" w:rsidRPr="00322132">
        <w:rPr>
          <w:sz w:val="20"/>
          <w:szCs w:val="20"/>
        </w:rPr>
        <w:t>R obligations</w:t>
      </w:r>
      <w:r w:rsidR="009F0411">
        <w:rPr>
          <w:sz w:val="20"/>
          <w:szCs w:val="20"/>
        </w:rPr>
        <w:t xml:space="preserve"> as at the date of this Declaration</w:t>
      </w:r>
      <w:r w:rsidRPr="004F3291">
        <w:rPr>
          <w:sz w:val="20"/>
          <w:szCs w:val="20"/>
        </w:rPr>
        <w:t>.</w:t>
      </w:r>
      <w:r w:rsidR="004D6ED7" w:rsidRPr="004F3291">
        <w:rPr>
          <w:sz w:val="20"/>
          <w:szCs w:val="20"/>
        </w:rPr>
        <w:t xml:space="preserve"> Each </w:t>
      </w:r>
      <w:r w:rsidR="00F53E8B">
        <w:rPr>
          <w:sz w:val="20"/>
          <w:szCs w:val="20"/>
        </w:rPr>
        <w:t>participant</w:t>
      </w:r>
      <w:r w:rsidR="004D6ED7" w:rsidRPr="004F3291">
        <w:rPr>
          <w:sz w:val="20"/>
          <w:szCs w:val="20"/>
        </w:rPr>
        <w:t xml:space="preserve"> </w:t>
      </w:r>
      <w:r w:rsidR="009F0411">
        <w:rPr>
          <w:sz w:val="20"/>
          <w:szCs w:val="20"/>
        </w:rPr>
        <w:t xml:space="preserve">in the DWGM </w:t>
      </w:r>
      <w:r w:rsidR="004D6ED7" w:rsidRPr="004F3291">
        <w:rPr>
          <w:sz w:val="20"/>
          <w:szCs w:val="20"/>
        </w:rPr>
        <w:t>is responsible for maintaining current awareness of its regulatory obligations and ensuring it is able to comply with them.</w:t>
      </w:r>
    </w:p>
    <w:p w14:paraId="5CEF31E9" w14:textId="5362C568" w:rsidR="00440A9F" w:rsidRPr="00440A9F" w:rsidRDefault="00440A9F" w:rsidP="00440A9F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190872F" w14:textId="6A67D331" w:rsidR="004D6ED7" w:rsidRDefault="004D6ED7" w:rsidP="00850AE9">
      <w:pPr>
        <w:rPr>
          <w:sz w:val="20"/>
          <w:szCs w:val="20"/>
        </w:rPr>
      </w:pPr>
      <w:r w:rsidRPr="004F3291">
        <w:rPr>
          <w:sz w:val="20"/>
          <w:szCs w:val="20"/>
        </w:rPr>
        <w:t>I declare that the Applicant has</w:t>
      </w:r>
      <w:r w:rsidR="00CD4F39">
        <w:rPr>
          <w:sz w:val="20"/>
          <w:szCs w:val="20"/>
        </w:rPr>
        <w:t xml:space="preserve"> </w:t>
      </w:r>
      <w:r w:rsidR="00672EF1">
        <w:rPr>
          <w:sz w:val="20"/>
          <w:szCs w:val="20"/>
        </w:rPr>
        <w:t xml:space="preserve">established prior to registration and commissioning, </w:t>
      </w:r>
      <w:r w:rsidR="00CD4F39">
        <w:rPr>
          <w:sz w:val="20"/>
          <w:szCs w:val="20"/>
        </w:rPr>
        <w:t>and will maintain</w:t>
      </w:r>
      <w:r w:rsidR="00672EF1">
        <w:rPr>
          <w:sz w:val="20"/>
          <w:szCs w:val="20"/>
        </w:rPr>
        <w:t xml:space="preserve"> while registered</w:t>
      </w:r>
      <w:r w:rsidRPr="004F3291">
        <w:rPr>
          <w:sz w:val="20"/>
          <w:szCs w:val="20"/>
        </w:rPr>
        <w:t xml:space="preserve">, all necessary capabilities for compliance with the </w:t>
      </w:r>
      <w:r w:rsidR="00F53E8B">
        <w:rPr>
          <w:sz w:val="20"/>
          <w:szCs w:val="20"/>
        </w:rPr>
        <w:t>NGR</w:t>
      </w:r>
      <w:r w:rsidR="00F53E8B" w:rsidRPr="004F3291">
        <w:rPr>
          <w:sz w:val="20"/>
          <w:szCs w:val="20"/>
        </w:rPr>
        <w:t xml:space="preserve"> </w:t>
      </w:r>
      <w:r w:rsidRPr="004F3291">
        <w:rPr>
          <w:sz w:val="20"/>
          <w:szCs w:val="20"/>
        </w:rPr>
        <w:t xml:space="preserve">as a </w:t>
      </w:r>
      <w:r w:rsidR="00F53E8B">
        <w:rPr>
          <w:sz w:val="20"/>
          <w:szCs w:val="20"/>
        </w:rPr>
        <w:t>participant</w:t>
      </w:r>
      <w:r w:rsidR="009F0411">
        <w:rPr>
          <w:sz w:val="20"/>
          <w:szCs w:val="20"/>
        </w:rPr>
        <w:t xml:space="preserve"> in the DWGM</w:t>
      </w:r>
      <w:r w:rsidRPr="004F3291">
        <w:rPr>
          <w:sz w:val="20"/>
          <w:szCs w:val="20"/>
        </w:rPr>
        <w:t>.</w:t>
      </w:r>
      <w:r w:rsidR="00292BB4">
        <w:rPr>
          <w:sz w:val="20"/>
          <w:szCs w:val="20"/>
        </w:rPr>
        <w:t xml:space="preserve"> </w:t>
      </w:r>
      <w:r w:rsidR="00292BB4" w:rsidRPr="00292BB4">
        <w:rPr>
          <w:sz w:val="20"/>
          <w:szCs w:val="20"/>
        </w:rPr>
        <w:t xml:space="preserve">I also understand that </w:t>
      </w:r>
      <w:r w:rsidR="00672EF1">
        <w:rPr>
          <w:sz w:val="20"/>
          <w:szCs w:val="20"/>
        </w:rPr>
        <w:t xml:space="preserve">failure to meet </w:t>
      </w:r>
      <w:r w:rsidR="00F53E8B">
        <w:rPr>
          <w:sz w:val="20"/>
          <w:szCs w:val="20"/>
        </w:rPr>
        <w:t xml:space="preserve">NGR </w:t>
      </w:r>
      <w:r w:rsidR="00672EF1">
        <w:rPr>
          <w:sz w:val="20"/>
          <w:szCs w:val="20"/>
        </w:rPr>
        <w:t>obligations may result in enforcement action by the AER.</w:t>
      </w:r>
    </w:p>
    <w:p w14:paraId="37EDFCC4" w14:textId="77777777" w:rsidR="00710DEE" w:rsidRPr="004F3291" w:rsidRDefault="00710DEE" w:rsidP="00850AE9">
      <w:pPr>
        <w:rPr>
          <w:sz w:val="20"/>
          <w:szCs w:val="20"/>
        </w:rPr>
      </w:pPr>
    </w:p>
    <w:p w14:paraId="482015EC" w14:textId="4C9805F2" w:rsidR="00D20C1F" w:rsidRDefault="00F74512" w:rsidP="004F3291">
      <w:pPr>
        <w:spacing w:before="240" w:after="0"/>
      </w:pPr>
      <w:r w:rsidRPr="005E3807">
        <w:fldChar w:fldCharType="begin">
          <w:ffData>
            <w:name w:val="Text2"/>
            <w:enabled/>
            <w:calcOnExit w:val="0"/>
            <w:textInput/>
          </w:ffData>
        </w:fldChar>
      </w:r>
      <w:r w:rsidRPr="005E3807">
        <w:instrText xml:space="preserve"> FORMTEXT </w:instrText>
      </w:r>
      <w:r w:rsidRPr="005E3807">
        <w:fldChar w:fldCharType="separate"/>
      </w:r>
      <w:r w:rsidRPr="005E3807">
        <w:t> </w:t>
      </w:r>
      <w:r w:rsidRPr="005E3807">
        <w:t> </w:t>
      </w:r>
      <w:r w:rsidRPr="005E3807">
        <w:t> </w:t>
      </w:r>
      <w:r w:rsidRPr="005E3807">
        <w:t> </w:t>
      </w:r>
      <w:r w:rsidRPr="005E3807">
        <w:t> </w:t>
      </w:r>
      <w:r w:rsidRPr="005E3807">
        <w:fldChar w:fldCharType="end"/>
      </w:r>
      <w:r w:rsidR="00D20C1F">
        <w:t>…………………………………………………………………………………………………………………………………………………</w:t>
      </w:r>
    </w:p>
    <w:p w14:paraId="11F5DCEC" w14:textId="77777777" w:rsidR="00D20C1F" w:rsidRPr="00CA3475" w:rsidRDefault="00D20C1F" w:rsidP="00D20C1F">
      <w:pPr>
        <w:jc w:val="center"/>
        <w:rPr>
          <w:sz w:val="16"/>
          <w:szCs w:val="16"/>
        </w:rPr>
      </w:pPr>
      <w:r w:rsidRPr="00CA3475">
        <w:rPr>
          <w:sz w:val="16"/>
          <w:szCs w:val="16"/>
        </w:rPr>
        <w:t>(insert name)</w:t>
      </w:r>
    </w:p>
    <w:p w14:paraId="6357AE5A" w14:textId="7FC54C52" w:rsidR="00D20C1F" w:rsidRDefault="00F74512" w:rsidP="004F3291">
      <w:pPr>
        <w:spacing w:before="240" w:after="0"/>
      </w:pPr>
      <w:r w:rsidRPr="005E3807">
        <w:fldChar w:fldCharType="begin">
          <w:ffData>
            <w:name w:val="Text2"/>
            <w:enabled/>
            <w:calcOnExit w:val="0"/>
            <w:textInput/>
          </w:ffData>
        </w:fldChar>
      </w:r>
      <w:r w:rsidRPr="005E3807">
        <w:instrText xml:space="preserve"> FORMTEXT </w:instrText>
      </w:r>
      <w:r w:rsidRPr="005E3807">
        <w:fldChar w:fldCharType="separate"/>
      </w:r>
      <w:r w:rsidRPr="005E3807">
        <w:t> </w:t>
      </w:r>
      <w:r w:rsidRPr="005E3807">
        <w:t> </w:t>
      </w:r>
      <w:r w:rsidRPr="005E3807">
        <w:t> </w:t>
      </w:r>
      <w:r w:rsidRPr="005E3807">
        <w:t> </w:t>
      </w:r>
      <w:r w:rsidRPr="005E3807">
        <w:t> </w:t>
      </w:r>
      <w:r w:rsidRPr="005E3807">
        <w:fldChar w:fldCharType="end"/>
      </w:r>
      <w:r w:rsidR="00D20C1F">
        <w:t>…………………………………………………………………………………………………………………………………………………</w:t>
      </w:r>
    </w:p>
    <w:p w14:paraId="35C8AF4D" w14:textId="527F7385" w:rsidR="00D20C1F" w:rsidRDefault="00D20C1F" w:rsidP="00D20C1F">
      <w:pPr>
        <w:jc w:val="center"/>
        <w:rPr>
          <w:sz w:val="16"/>
          <w:szCs w:val="16"/>
        </w:rPr>
      </w:pPr>
      <w:r>
        <w:rPr>
          <w:sz w:val="16"/>
          <w:szCs w:val="16"/>
        </w:rPr>
        <w:t>(insert title)</w:t>
      </w:r>
    </w:p>
    <w:p w14:paraId="7E7F882F" w14:textId="77D7BAB7" w:rsidR="00D20C1F" w:rsidRDefault="00CA3475" w:rsidP="004F3291">
      <w:pPr>
        <w:spacing w:after="0"/>
      </w:pPr>
      <w:r>
        <w:t>…………………………………………………………………………………</w:t>
      </w:r>
      <w:r>
        <w:tab/>
      </w:r>
      <w:r>
        <w:tab/>
      </w:r>
      <w:r w:rsidR="0049701C" w:rsidRPr="005E3807">
        <w:fldChar w:fldCharType="begin">
          <w:ffData>
            <w:name w:val="Text2"/>
            <w:enabled/>
            <w:calcOnExit w:val="0"/>
            <w:textInput/>
          </w:ffData>
        </w:fldChar>
      </w:r>
      <w:r w:rsidR="0049701C" w:rsidRPr="005E3807">
        <w:instrText xml:space="preserve"> FORMTEXT </w:instrText>
      </w:r>
      <w:r w:rsidR="0049701C" w:rsidRPr="005E3807">
        <w:fldChar w:fldCharType="separate"/>
      </w:r>
      <w:r w:rsidR="0049701C" w:rsidRPr="005E3807">
        <w:t> </w:t>
      </w:r>
      <w:r w:rsidR="0049701C" w:rsidRPr="005E3807">
        <w:t> </w:t>
      </w:r>
      <w:r w:rsidR="0049701C" w:rsidRPr="005E3807">
        <w:t> </w:t>
      </w:r>
      <w:r w:rsidR="0049701C" w:rsidRPr="005E3807">
        <w:t> </w:t>
      </w:r>
      <w:r w:rsidR="0049701C" w:rsidRPr="005E3807">
        <w:t> </w:t>
      </w:r>
      <w:r w:rsidR="0049701C" w:rsidRPr="005E3807">
        <w:fldChar w:fldCharType="end"/>
      </w:r>
      <w:r>
        <w:t>…………………………………………</w:t>
      </w:r>
    </w:p>
    <w:p w14:paraId="19E1E4B6" w14:textId="7FB0A850" w:rsidR="00850AE9" w:rsidRDefault="00CA3475" w:rsidP="00850AE9">
      <w:pPr>
        <w:rPr>
          <w:sz w:val="16"/>
          <w:szCs w:val="16"/>
        </w:rPr>
      </w:pPr>
      <w:r>
        <w:rPr>
          <w:sz w:val="16"/>
          <w:szCs w:val="16"/>
        </w:rPr>
        <w:t>Signature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Date</w:t>
      </w:r>
    </w:p>
    <w:p w14:paraId="37360FFB" w14:textId="147DCFD7" w:rsidR="00440A9F" w:rsidRDefault="00440A9F" w:rsidP="00850AE9">
      <w:pPr>
        <w:rPr>
          <w:sz w:val="16"/>
          <w:szCs w:val="16"/>
        </w:rPr>
      </w:pPr>
    </w:p>
    <w:sectPr w:rsidR="00440A9F" w:rsidSect="004F3291">
      <w:headerReference w:type="default" r:id="rId14"/>
      <w:footerReference w:type="default" r:id="rId15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7DE61" w14:textId="77777777" w:rsidR="00601C55" w:rsidRDefault="00601C55" w:rsidP="009A027E">
      <w:pPr>
        <w:spacing w:after="0" w:line="240" w:lineRule="auto"/>
      </w:pPr>
      <w:r>
        <w:separator/>
      </w:r>
    </w:p>
  </w:endnote>
  <w:endnote w:type="continuationSeparator" w:id="0">
    <w:p w14:paraId="66664053" w14:textId="77777777" w:rsidR="00601C55" w:rsidRDefault="00601C55" w:rsidP="009A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1AF63" w14:textId="6AF2820F" w:rsidR="009A027E" w:rsidRPr="004F3291" w:rsidRDefault="009A027E" w:rsidP="004F3291">
    <w:pPr>
      <w:tabs>
        <w:tab w:val="center" w:pos="4513"/>
        <w:tab w:val="right" w:pos="9026"/>
      </w:tabs>
      <w:spacing w:after="0" w:line="240" w:lineRule="auto"/>
      <w:rPr>
        <w:rFonts w:eastAsiaTheme="minorEastAsia" w:cs="Arial Unicode MS"/>
        <w:bCs/>
        <w:color w:val="222324" w:themeColor="text1"/>
        <w:sz w:val="16"/>
        <w:szCs w:val="20"/>
        <w:lang w:eastAsia="ko-KR"/>
      </w:rPr>
    </w:pPr>
    <w:r w:rsidRPr="009A027E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 xml:space="preserve">© AEMO </w:t>
    </w:r>
    <w:r w:rsidR="00441CAC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>20</w:t>
    </w:r>
    <w:r w:rsidR="00FD6455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>21</w:t>
    </w:r>
    <w:r w:rsidRPr="009A027E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 xml:space="preserve"> </w:t>
    </w:r>
    <w:r w:rsidRPr="009A027E">
      <w:rPr>
        <w:rFonts w:eastAsiaTheme="minorEastAsia" w:cs="Arial Unicode MS"/>
        <w:bCs/>
        <w:color w:val="C41230" w:themeColor="accent1"/>
        <w:sz w:val="16"/>
        <w:szCs w:val="20"/>
        <w:lang w:eastAsia="ko-KR"/>
      </w:rPr>
      <w:t>|</w:t>
    </w:r>
    <w:r w:rsidRPr="009A027E">
      <w:rPr>
        <w:rFonts w:eastAsiaTheme="minorEastAsia" w:cs="Arial Unicode MS"/>
        <w:bCs/>
        <w:color w:val="222324" w:themeColor="text1"/>
        <w:sz w:val="16"/>
        <w:szCs w:val="20"/>
        <w:lang w:eastAsia="ko-KR"/>
      </w:rPr>
      <w:t xml:space="preserve"> </w:t>
    </w:r>
    <w:r w:rsidRPr="009A027E">
      <w:rPr>
        <w:rFonts w:eastAsiaTheme="minorEastAsia" w:cs="Arial Unicode MS"/>
        <w:bCs/>
        <w:noProof/>
        <w:color w:val="222324" w:themeColor="text1"/>
        <w:sz w:val="16"/>
        <w:szCs w:val="20"/>
        <w:lang w:eastAsia="ko-KR"/>
      </w:rPr>
      <w:t>Applica</w:t>
    </w:r>
    <w:r w:rsidR="003E6BF0">
      <w:rPr>
        <w:rFonts w:eastAsiaTheme="minorEastAsia" w:cs="Arial Unicode MS"/>
        <w:bCs/>
        <w:noProof/>
        <w:color w:val="222324" w:themeColor="text1"/>
        <w:sz w:val="16"/>
        <w:szCs w:val="20"/>
        <w:lang w:eastAsia="ko-KR"/>
      </w:rPr>
      <w:t>nt Capability Declaration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9D5B4" w14:textId="77777777" w:rsidR="00601C55" w:rsidRDefault="00601C55" w:rsidP="009A027E">
      <w:pPr>
        <w:spacing w:after="0" w:line="240" w:lineRule="auto"/>
      </w:pPr>
      <w:r>
        <w:separator/>
      </w:r>
    </w:p>
  </w:footnote>
  <w:footnote w:type="continuationSeparator" w:id="0">
    <w:p w14:paraId="012FC824" w14:textId="77777777" w:rsidR="00601C55" w:rsidRDefault="00601C55" w:rsidP="009A027E">
      <w:pPr>
        <w:spacing w:after="0" w:line="240" w:lineRule="auto"/>
      </w:pPr>
      <w:r>
        <w:continuationSeparator/>
      </w:r>
    </w:p>
  </w:footnote>
  <w:footnote w:id="1">
    <w:p w14:paraId="786C557A" w14:textId="77777777" w:rsidR="00D33D3B" w:rsidRDefault="00D33D3B" w:rsidP="00D33D3B">
      <w:pPr>
        <w:pStyle w:val="FootnoteText"/>
      </w:pPr>
      <w:r>
        <w:rPr>
          <w:rStyle w:val="FootnoteReference"/>
        </w:rPr>
        <w:footnoteRef/>
      </w:r>
      <w:r>
        <w:t xml:space="preserve"> Note the</w:t>
      </w:r>
      <w:r w:rsidRPr="00E108F1">
        <w:t xml:space="preserve"> checklist is for guidance only and is not an exhaustive list that guarantees compliance.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E5666" w14:textId="241D74D4" w:rsidR="009A027E" w:rsidRDefault="009A027E">
    <w:pPr>
      <w:pStyle w:val="Header"/>
    </w:pPr>
    <w:r w:rsidRPr="005D04EA">
      <w:rPr>
        <w:noProof/>
        <w:lang w:eastAsia="en-AU"/>
      </w:rPr>
      <w:drawing>
        <wp:anchor distT="0" distB="0" distL="114300" distR="114300" simplePos="0" relativeHeight="251659264" behindDoc="1" locked="1" layoutInCell="1" allowOverlap="1" wp14:anchorId="1917C09C" wp14:editId="18FDB99B">
          <wp:simplePos x="0" y="0"/>
          <wp:positionH relativeFrom="page">
            <wp:posOffset>5198110</wp:posOffset>
          </wp:positionH>
          <wp:positionV relativeFrom="topMargin">
            <wp:align>bottom</wp:align>
          </wp:positionV>
          <wp:extent cx="1990725" cy="655320"/>
          <wp:effectExtent l="0" t="0" r="9525" b="0"/>
          <wp:wrapNone/>
          <wp:docPr id="2" name="Picture 142" descr="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 descr="Header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553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92E2E"/>
    <w:multiLevelType w:val="hybridMultilevel"/>
    <w:tmpl w:val="B91E6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34AF8"/>
    <w:multiLevelType w:val="hybridMultilevel"/>
    <w:tmpl w:val="A3E4D2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B0788"/>
    <w:multiLevelType w:val="hybridMultilevel"/>
    <w:tmpl w:val="A57C195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bMHLVa0cpA4KPR3ZWA6kyieoRlai5tDNA5ecl+iepd02uybdwGdzDejtk8MGObRtALBPLk8ndpsCVD7yRGm9Q==" w:salt="Nlh0PTTFpuAsQ5SDynNF5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D21"/>
    <w:rsid w:val="00000DD3"/>
    <w:rsid w:val="000344A5"/>
    <w:rsid w:val="000655A5"/>
    <w:rsid w:val="000863AB"/>
    <w:rsid w:val="000B1950"/>
    <w:rsid w:val="000B7B67"/>
    <w:rsid w:val="000C1672"/>
    <w:rsid w:val="000D7789"/>
    <w:rsid w:val="000E223D"/>
    <w:rsid w:val="000E540B"/>
    <w:rsid w:val="00121E81"/>
    <w:rsid w:val="00131B3D"/>
    <w:rsid w:val="0015052B"/>
    <w:rsid w:val="001B24E2"/>
    <w:rsid w:val="001B288E"/>
    <w:rsid w:val="001B6728"/>
    <w:rsid w:val="0020278C"/>
    <w:rsid w:val="002309A9"/>
    <w:rsid w:val="00253E48"/>
    <w:rsid w:val="00292BB4"/>
    <w:rsid w:val="00295B64"/>
    <w:rsid w:val="002A0176"/>
    <w:rsid w:val="002F4675"/>
    <w:rsid w:val="00322132"/>
    <w:rsid w:val="00344F11"/>
    <w:rsid w:val="003E6BF0"/>
    <w:rsid w:val="003F119D"/>
    <w:rsid w:val="00412D92"/>
    <w:rsid w:val="00426DB8"/>
    <w:rsid w:val="00433E90"/>
    <w:rsid w:val="00440A9F"/>
    <w:rsid w:val="00441CAC"/>
    <w:rsid w:val="004450DB"/>
    <w:rsid w:val="00452D10"/>
    <w:rsid w:val="004605E2"/>
    <w:rsid w:val="00461338"/>
    <w:rsid w:val="004757EB"/>
    <w:rsid w:val="00475A4C"/>
    <w:rsid w:val="00483D02"/>
    <w:rsid w:val="00491DD8"/>
    <w:rsid w:val="0049701C"/>
    <w:rsid w:val="004B121C"/>
    <w:rsid w:val="004D02FE"/>
    <w:rsid w:val="004D6ED7"/>
    <w:rsid w:val="004F3291"/>
    <w:rsid w:val="00550454"/>
    <w:rsid w:val="00567556"/>
    <w:rsid w:val="00571C4B"/>
    <w:rsid w:val="005735DD"/>
    <w:rsid w:val="0058114D"/>
    <w:rsid w:val="005922FA"/>
    <w:rsid w:val="005A2367"/>
    <w:rsid w:val="005B5947"/>
    <w:rsid w:val="005C23A0"/>
    <w:rsid w:val="005E3FE7"/>
    <w:rsid w:val="005E4D51"/>
    <w:rsid w:val="00601C55"/>
    <w:rsid w:val="00672EF1"/>
    <w:rsid w:val="00684B91"/>
    <w:rsid w:val="006A2C86"/>
    <w:rsid w:val="006B01CB"/>
    <w:rsid w:val="006B2854"/>
    <w:rsid w:val="006B39BA"/>
    <w:rsid w:val="00704C25"/>
    <w:rsid w:val="00710DEE"/>
    <w:rsid w:val="00753496"/>
    <w:rsid w:val="00754DE6"/>
    <w:rsid w:val="007668D3"/>
    <w:rsid w:val="0077063A"/>
    <w:rsid w:val="007B7321"/>
    <w:rsid w:val="007C4076"/>
    <w:rsid w:val="007C55E1"/>
    <w:rsid w:val="007E0E64"/>
    <w:rsid w:val="00812490"/>
    <w:rsid w:val="00850AE9"/>
    <w:rsid w:val="00876F9A"/>
    <w:rsid w:val="00890C15"/>
    <w:rsid w:val="00896FA7"/>
    <w:rsid w:val="008B054E"/>
    <w:rsid w:val="008B30B5"/>
    <w:rsid w:val="008C0A80"/>
    <w:rsid w:val="008D7A51"/>
    <w:rsid w:val="00905BD6"/>
    <w:rsid w:val="0090702E"/>
    <w:rsid w:val="009211F3"/>
    <w:rsid w:val="00961F3B"/>
    <w:rsid w:val="0097090D"/>
    <w:rsid w:val="009A027E"/>
    <w:rsid w:val="009F0411"/>
    <w:rsid w:val="00A14E5D"/>
    <w:rsid w:val="00A511AC"/>
    <w:rsid w:val="00A56A22"/>
    <w:rsid w:val="00A70987"/>
    <w:rsid w:val="00A70EC1"/>
    <w:rsid w:val="00A86D6D"/>
    <w:rsid w:val="00A96A3A"/>
    <w:rsid w:val="00AB7F6E"/>
    <w:rsid w:val="00AF423D"/>
    <w:rsid w:val="00B41DC7"/>
    <w:rsid w:val="00B63B4D"/>
    <w:rsid w:val="00B76DF4"/>
    <w:rsid w:val="00B9326E"/>
    <w:rsid w:val="00C44B30"/>
    <w:rsid w:val="00C44BE7"/>
    <w:rsid w:val="00C93700"/>
    <w:rsid w:val="00CA1816"/>
    <w:rsid w:val="00CA3475"/>
    <w:rsid w:val="00CB6147"/>
    <w:rsid w:val="00CD4F39"/>
    <w:rsid w:val="00CE7A02"/>
    <w:rsid w:val="00CF0D46"/>
    <w:rsid w:val="00D12EA5"/>
    <w:rsid w:val="00D20C1F"/>
    <w:rsid w:val="00D22857"/>
    <w:rsid w:val="00D33D3B"/>
    <w:rsid w:val="00D404BE"/>
    <w:rsid w:val="00D93803"/>
    <w:rsid w:val="00DA60E3"/>
    <w:rsid w:val="00DF3C4C"/>
    <w:rsid w:val="00E108F1"/>
    <w:rsid w:val="00E36894"/>
    <w:rsid w:val="00E63D21"/>
    <w:rsid w:val="00E70CA2"/>
    <w:rsid w:val="00F0603E"/>
    <w:rsid w:val="00F25B7C"/>
    <w:rsid w:val="00F36265"/>
    <w:rsid w:val="00F53E8B"/>
    <w:rsid w:val="00F74512"/>
    <w:rsid w:val="00FC3872"/>
    <w:rsid w:val="00FC537E"/>
    <w:rsid w:val="00FD6455"/>
    <w:rsid w:val="00F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329274A"/>
  <w15:chartTrackingRefBased/>
  <w15:docId w15:val="{EE2EE43F-BA5E-4D65-B814-2DEEA35E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C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20D2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C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20D23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F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E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1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1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1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E8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20C1F"/>
    <w:rPr>
      <w:rFonts w:asciiTheme="majorHAnsi" w:eastAsiaTheme="majorEastAsia" w:hAnsiTheme="majorHAnsi" w:cstheme="majorBidi"/>
      <w:color w:val="920D2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0C1F"/>
    <w:rPr>
      <w:rFonts w:asciiTheme="majorHAnsi" w:eastAsiaTheme="majorEastAsia" w:hAnsiTheme="majorHAnsi" w:cstheme="majorBidi"/>
      <w:color w:val="920D23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A3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A347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5Dark-Accent5">
    <w:name w:val="Grid Table 5 Dark Accent 5"/>
    <w:basedOn w:val="TableNormal"/>
    <w:uiPriority w:val="50"/>
    <w:rsid w:val="00CA34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6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59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2859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2859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2859C" w:themeFill="accent5"/>
      </w:tcPr>
    </w:tblStylePr>
    <w:tblStylePr w:type="band1Vert">
      <w:tblPr/>
      <w:tcPr>
        <w:shd w:val="clear" w:color="auto" w:fill="CCCED7" w:themeFill="accent5" w:themeFillTint="66"/>
      </w:tcPr>
    </w:tblStylePr>
    <w:tblStylePr w:type="band1Horz">
      <w:tblPr/>
      <w:tcPr>
        <w:shd w:val="clear" w:color="auto" w:fill="CCCED7" w:themeFill="accent5" w:themeFillTint="66"/>
      </w:tcPr>
    </w:tblStylePr>
  </w:style>
  <w:style w:type="table" w:styleId="GridTable4">
    <w:name w:val="Grid Table 4"/>
    <w:basedOn w:val="TableNormal"/>
    <w:uiPriority w:val="49"/>
    <w:rsid w:val="00CA3475"/>
    <w:pPr>
      <w:spacing w:after="0" w:line="240" w:lineRule="auto"/>
    </w:pPr>
    <w:tblPr>
      <w:tblStyleRowBandSize w:val="1"/>
      <w:tblStyleColBandSize w:val="1"/>
      <w:tblBorders>
        <w:top w:val="single" w:sz="4" w:space="0" w:color="777A7E" w:themeColor="text1" w:themeTint="99"/>
        <w:left w:val="single" w:sz="4" w:space="0" w:color="777A7E" w:themeColor="text1" w:themeTint="99"/>
        <w:bottom w:val="single" w:sz="4" w:space="0" w:color="777A7E" w:themeColor="text1" w:themeTint="99"/>
        <w:right w:val="single" w:sz="4" w:space="0" w:color="777A7E" w:themeColor="text1" w:themeTint="99"/>
        <w:insideH w:val="single" w:sz="4" w:space="0" w:color="777A7E" w:themeColor="text1" w:themeTint="99"/>
        <w:insideV w:val="single" w:sz="4" w:space="0" w:color="777A7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324" w:themeColor="text1"/>
          <w:left w:val="single" w:sz="4" w:space="0" w:color="222324" w:themeColor="text1"/>
          <w:bottom w:val="single" w:sz="4" w:space="0" w:color="222324" w:themeColor="text1"/>
          <w:right w:val="single" w:sz="4" w:space="0" w:color="222324" w:themeColor="text1"/>
          <w:insideH w:val="nil"/>
          <w:insideV w:val="nil"/>
        </w:tcBorders>
        <w:shd w:val="clear" w:color="auto" w:fill="222324" w:themeFill="text1"/>
      </w:tcPr>
    </w:tblStylePr>
    <w:tblStylePr w:type="lastRow">
      <w:rPr>
        <w:b/>
        <w:bCs/>
      </w:rPr>
      <w:tblPr/>
      <w:tcPr>
        <w:tcBorders>
          <w:top w:val="double" w:sz="4" w:space="0" w:color="22232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2D4" w:themeFill="text1" w:themeFillTint="33"/>
      </w:tcPr>
    </w:tblStylePr>
    <w:tblStylePr w:type="band1Horz">
      <w:tblPr/>
      <w:tcPr>
        <w:shd w:val="clear" w:color="auto" w:fill="D1D2D4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9A0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27E"/>
  </w:style>
  <w:style w:type="paragraph" w:styleId="Footer">
    <w:name w:val="footer"/>
    <w:basedOn w:val="Normal"/>
    <w:link w:val="FooterChar"/>
    <w:uiPriority w:val="99"/>
    <w:unhideWhenUsed/>
    <w:rsid w:val="009A02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27E"/>
  </w:style>
  <w:style w:type="paragraph" w:styleId="Title">
    <w:name w:val="Title"/>
    <w:basedOn w:val="Normal"/>
    <w:next w:val="Normal"/>
    <w:link w:val="TitleChar"/>
    <w:uiPriority w:val="10"/>
    <w:qFormat/>
    <w:rsid w:val="00710D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6B2854"/>
    <w:pPr>
      <w:spacing w:after="0" w:line="240" w:lineRule="auto"/>
    </w:pPr>
  </w:style>
  <w:style w:type="paragraph" w:styleId="Revision">
    <w:name w:val="Revision"/>
    <w:hidden/>
    <w:uiPriority w:val="99"/>
    <w:semiHidden/>
    <w:rsid w:val="005C23A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C4076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9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9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09A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11AC"/>
    <w:rPr>
      <w:color w:val="C41230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1AC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2213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213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1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EMO">
      <a:dk1>
        <a:srgbClr val="222324"/>
      </a:dk1>
      <a:lt1>
        <a:sysClr val="window" lastClr="FFFFFF"/>
      </a:lt1>
      <a:dk2>
        <a:srgbClr val="000000"/>
      </a:dk2>
      <a:lt2>
        <a:srgbClr val="E0E8EA"/>
      </a:lt2>
      <a:accent1>
        <a:srgbClr val="C41230"/>
      </a:accent1>
      <a:accent2>
        <a:srgbClr val="360F3C"/>
      </a:accent2>
      <a:accent3>
        <a:srgbClr val="F37421"/>
      </a:accent3>
      <a:accent4>
        <a:srgbClr val="FFC222"/>
      </a:accent4>
      <a:accent5>
        <a:srgbClr val="82859C"/>
      </a:accent5>
      <a:accent6>
        <a:srgbClr val="B3E0EE"/>
      </a:accent6>
      <a:hlink>
        <a:srgbClr val="C41230"/>
      </a:hlink>
      <a:folHlink>
        <a:srgbClr val="C41230"/>
      </a:folHlink>
    </a:clrScheme>
    <a:fontScheme name="AEMO TW Segoe">
      <a:majorFont>
        <a:latin typeface="Century Gothic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409ac0fb-07cb-4169-8a26-def2760b5502" ContentTypeId="0x0101009BE89D58CAF0934CA32A20BCFFD353DC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2CFF94BDCE5740AFDB3AA3C6D1E73B" ma:contentTypeVersion="10" ma:contentTypeDescription="Create a new document." ma:contentTypeScope="" ma:versionID="93248d7dd81ba13737986e2608a6840c">
  <xsd:schema xmlns:xsd="http://www.w3.org/2001/XMLSchema" xmlns:xs="http://www.w3.org/2001/XMLSchema" xmlns:p="http://schemas.microsoft.com/office/2006/metadata/properties" xmlns:ns2="38e981e4-b2f7-4301-9dd9-f2843a9276fa" xmlns:ns3="dc2b30ec-1a56-4212-8f95-936361b41b23" targetNamespace="http://schemas.microsoft.com/office/2006/metadata/properties" ma:root="true" ma:fieldsID="1c257e85a19be3ca4933625398927e38" ns2:_="" ns3:_="">
    <xsd:import namespace="38e981e4-b2f7-4301-9dd9-f2843a9276fa"/>
    <xsd:import namespace="dc2b30ec-1a56-4212-8f95-936361b41b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981e4-b2f7-4301-9dd9-f2843a927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b30ec-1a56-4212-8f95-936361b41b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57352E-52F1-408E-BA83-22FE1FCCEF5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AA15939-B716-4673-B3E8-98479056BD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E8961E-BFFF-4706-8BC3-49AAFEA3E4F3}"/>
</file>

<file path=customXml/itemProps4.xml><?xml version="1.0" encoding="utf-8"?>
<ds:datastoreItem xmlns:ds="http://schemas.openxmlformats.org/officeDocument/2006/customXml" ds:itemID="{1E812872-9A72-408B-8816-B59A6620C4EE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20D3617A-191D-48A9-938C-66B4CCB699C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14523ce-dede-483e-883a-2d83261080bd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29A05DD-A8F4-45B1-9181-29F79015BD9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7DFD6EA-411A-4BE2-B43C-5CFD59710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Capability Declaration - DWGM Participant Application</vt:lpstr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Capability Declaration - DWGM Participant Application</dc:title>
  <dc:subject/>
  <dc:creator>James Banks</dc:creator>
  <cp:keywords/>
  <dc:description/>
  <cp:lastModifiedBy>Caitlin Aynsley</cp:lastModifiedBy>
  <cp:revision>2</cp:revision>
  <dcterms:created xsi:type="dcterms:W3CDTF">2021-06-24T04:59:00Z</dcterms:created>
  <dcterms:modified xsi:type="dcterms:W3CDTF">2021-06-24T04:59:00Z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0x0101007D2CFF94BDCE5740AFDB3AA3C6D1E73B</vt:lpwstr>
  </property>
  <property fmtid="{D5CDD505-2E9C-101B-9397-08002B2CF9AE}" pid="3" name="AEMODocumentType">
    <vt:lpwstr>1;#Operational Record|859762f2-4462-42eb-9744-c955c7e2c540</vt:lpwstr>
  </property>
  <property fmtid="{D5CDD505-2E9C-101B-9397-08002B2CF9AE}" pid="4" name="AEMOKeywords">
    <vt:lpwstr/>
  </property>
  <property fmtid="{D5CDD505-2E9C-101B-9397-08002B2CF9AE}" pid="5" name="_dlc_DocIdItemGuid">
    <vt:lpwstr>71b31350-2298-4eb4-a581-4bc240d2fdce</vt:lpwstr>
  </property>
</Properties>
</file>