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CEE" w:rsidRPr="00B03510" w:rsidRDefault="00DA2CEE" w:rsidP="00127AD7">
      <w:pPr>
        <w:tabs>
          <w:tab w:val="right" w:pos="8820"/>
        </w:tabs>
        <w:spacing w:before="60" w:after="240" w:line="340" w:lineRule="exact"/>
        <w:ind w:right="357"/>
        <w:outlineLvl w:val="0"/>
        <w:rPr>
          <w:rFonts w:ascii="Antique Olive" w:hAnsi="Antique Olive"/>
          <w:smallCaps/>
          <w:color w:val="808080"/>
          <w:spacing w:val="30"/>
          <w:sz w:val="32"/>
          <w:szCs w:val="32"/>
        </w:rPr>
      </w:pPr>
      <w:r>
        <w:rPr>
          <w:rFonts w:ascii="Antique Olive" w:hAnsi="Antique Olive"/>
          <w:smallCaps/>
          <w:noProof/>
          <w:spacing w:val="30"/>
          <w:sz w:val="32"/>
          <w:szCs w:val="32"/>
        </w:rPr>
        <w:t>Competition in metering services: safety regulation</w:t>
      </w:r>
      <w:r w:rsidR="00127AD7">
        <w:rPr>
          <w:rFonts w:ascii="Antique Olive" w:hAnsi="Antique Olive"/>
          <w:smallCaps/>
          <w:noProof/>
          <w:spacing w:val="30"/>
          <w:sz w:val="32"/>
          <w:szCs w:val="32"/>
        </w:rPr>
        <w:t xml:space="preserve"> </w:t>
      </w:r>
      <w:r w:rsidRPr="00B03510">
        <w:rPr>
          <w:rFonts w:ascii="Antique Olive" w:hAnsi="Antique Olive"/>
          <w:smallCaps/>
          <w:color w:val="808080"/>
          <w:spacing w:val="30"/>
          <w:sz w:val="32"/>
          <w:szCs w:val="32"/>
        </w:rPr>
        <w:t>Workshop</w:t>
      </w:r>
      <w:r w:rsidRPr="00B03510">
        <w:rPr>
          <w:rFonts w:ascii="Antique Olive" w:hAnsi="Antique Olive"/>
          <w:smallCaps/>
          <w:color w:val="808080"/>
          <w:spacing w:val="30"/>
          <w:szCs w:val="32"/>
        </w:rPr>
        <w:t xml:space="preserve"> </w:t>
      </w:r>
      <w:r>
        <w:rPr>
          <w:rFonts w:ascii="Antique Olive" w:hAnsi="Antique Olive"/>
          <w:smallCaps/>
          <w:color w:val="808080"/>
          <w:spacing w:val="30"/>
          <w:sz w:val="32"/>
          <w:szCs w:val="32"/>
        </w:rPr>
        <w:t>issues identification, actions and next steps</w:t>
      </w:r>
    </w:p>
    <w:p w:rsidR="00DA2CEE" w:rsidRPr="00262CDA" w:rsidRDefault="00DA2CEE" w:rsidP="00127AD7">
      <w:pPr>
        <w:spacing w:before="120"/>
        <w:ind w:right="359"/>
        <w:rPr>
          <w:b/>
        </w:rPr>
      </w:pPr>
      <w:r>
        <w:rPr>
          <w:rFonts w:ascii="Antique Olive" w:hAnsi="Antique Olive"/>
        </w:rPr>
        <w:t xml:space="preserve">16 March 2016 </w:t>
      </w:r>
      <w:r w:rsidRPr="00AE52A4">
        <w:rPr>
          <w:b/>
          <w:sz w:val="24"/>
          <w:szCs w:val="24"/>
        </w:rPr>
        <w:t>Prio</w:t>
      </w:r>
      <w:bookmarkStart w:id="0" w:name="_GoBack"/>
      <w:bookmarkEnd w:id="0"/>
      <w:r w:rsidRPr="00AE52A4">
        <w:rPr>
          <w:b/>
          <w:sz w:val="24"/>
          <w:szCs w:val="24"/>
        </w:rPr>
        <w:t>rity issues identified in the workshop</w:t>
      </w:r>
      <w:r w:rsidRPr="00262CDA">
        <w:rPr>
          <w:b/>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95"/>
        <w:gridCol w:w="2741"/>
        <w:gridCol w:w="4857"/>
        <w:gridCol w:w="4184"/>
      </w:tblGrid>
      <w:tr w:rsidR="00FC2204" w:rsidTr="00FC2204">
        <w:trPr>
          <w:cantSplit/>
          <w:trHeight w:val="961"/>
          <w:tblHeader/>
        </w:trPr>
        <w:tc>
          <w:tcPr>
            <w:tcW w:w="1895" w:type="dxa"/>
            <w:tcBorders>
              <w:top w:val="single" w:sz="4" w:space="0" w:color="auto"/>
              <w:left w:val="single" w:sz="4" w:space="0" w:color="auto"/>
              <w:bottom w:val="single" w:sz="4" w:space="0" w:color="auto"/>
            </w:tcBorders>
          </w:tcPr>
          <w:p w:rsidR="00FC2204" w:rsidRPr="00AE4883" w:rsidRDefault="00FC2204" w:rsidP="005A30FB">
            <w:pPr>
              <w:rPr>
                <w:b/>
              </w:rPr>
            </w:pPr>
            <w:r w:rsidRPr="00AE4883">
              <w:rPr>
                <w:b/>
              </w:rPr>
              <w:t>Area of metering safety</w:t>
            </w:r>
          </w:p>
        </w:tc>
        <w:tc>
          <w:tcPr>
            <w:tcW w:w="2741" w:type="dxa"/>
            <w:tcBorders>
              <w:top w:val="single" w:sz="4" w:space="0" w:color="auto"/>
              <w:bottom w:val="single" w:sz="4" w:space="0" w:color="auto"/>
            </w:tcBorders>
          </w:tcPr>
          <w:p w:rsidR="00FC2204" w:rsidRPr="00AE4883" w:rsidRDefault="00FC2204" w:rsidP="005A30FB">
            <w:pPr>
              <w:rPr>
                <w:b/>
              </w:rPr>
            </w:pPr>
            <w:r>
              <w:rPr>
                <w:b/>
              </w:rPr>
              <w:t>Sub-area</w:t>
            </w:r>
            <w:r w:rsidRPr="00AE4883">
              <w:rPr>
                <w:b/>
              </w:rPr>
              <w:t xml:space="preserve"> of metering safety</w:t>
            </w:r>
          </w:p>
        </w:tc>
        <w:tc>
          <w:tcPr>
            <w:tcW w:w="4857" w:type="dxa"/>
            <w:tcBorders>
              <w:top w:val="single" w:sz="4" w:space="0" w:color="auto"/>
              <w:bottom w:val="single" w:sz="4" w:space="0" w:color="auto"/>
            </w:tcBorders>
          </w:tcPr>
          <w:p w:rsidR="00FC2204" w:rsidRPr="00AE4883" w:rsidRDefault="00FC2204" w:rsidP="00AA7380">
            <w:pPr>
              <w:rPr>
                <w:b/>
              </w:rPr>
            </w:pPr>
            <w:r w:rsidRPr="00AE4883">
              <w:rPr>
                <w:b/>
              </w:rPr>
              <w:t xml:space="preserve">Issues </w:t>
            </w:r>
            <w:r w:rsidR="00AA7380">
              <w:rPr>
                <w:b/>
              </w:rPr>
              <w:t>explored</w:t>
            </w:r>
          </w:p>
        </w:tc>
        <w:tc>
          <w:tcPr>
            <w:tcW w:w="4184" w:type="dxa"/>
            <w:tcBorders>
              <w:top w:val="single" w:sz="4" w:space="0" w:color="auto"/>
              <w:bottom w:val="single" w:sz="4" w:space="0" w:color="auto"/>
              <w:right w:val="single" w:sz="4" w:space="0" w:color="auto"/>
            </w:tcBorders>
          </w:tcPr>
          <w:p w:rsidR="00FC2204" w:rsidRPr="00AE4883" w:rsidRDefault="00FC2204" w:rsidP="005A30FB">
            <w:pPr>
              <w:rPr>
                <w:b/>
              </w:rPr>
            </w:pPr>
            <w:r w:rsidRPr="00AE4883">
              <w:rPr>
                <w:b/>
              </w:rPr>
              <w:t>Actions identified</w:t>
            </w:r>
            <w:r>
              <w:rPr>
                <w:b/>
              </w:rPr>
              <w:t>/</w:t>
            </w:r>
            <w:r w:rsidRPr="00AE4883">
              <w:rPr>
                <w:b/>
              </w:rPr>
              <w:t xml:space="preserve"> </w:t>
            </w:r>
            <w:r>
              <w:rPr>
                <w:b/>
              </w:rPr>
              <w:br/>
            </w:r>
            <w:r w:rsidRPr="00AE4883">
              <w:rPr>
                <w:b/>
              </w:rPr>
              <w:t>Next steps</w:t>
            </w:r>
          </w:p>
        </w:tc>
      </w:tr>
      <w:tr w:rsidR="00FC2204" w:rsidTr="00FC2204">
        <w:trPr>
          <w:cantSplit/>
          <w:trHeight w:val="171"/>
        </w:trPr>
        <w:tc>
          <w:tcPr>
            <w:tcW w:w="1895" w:type="dxa"/>
            <w:tcBorders>
              <w:top w:val="single" w:sz="4" w:space="0" w:color="auto"/>
              <w:left w:val="single" w:sz="4" w:space="0" w:color="auto"/>
              <w:bottom w:val="single" w:sz="4" w:space="0" w:color="auto"/>
            </w:tcBorders>
          </w:tcPr>
          <w:p w:rsidR="00FC2204" w:rsidRPr="00B26580" w:rsidRDefault="00FC2204" w:rsidP="005A30FB">
            <w:pPr>
              <w:rPr>
                <w:b/>
              </w:rPr>
            </w:pPr>
            <w:r>
              <w:rPr>
                <w:b/>
              </w:rPr>
              <w:t>Remote re-</w:t>
            </w:r>
            <w:proofErr w:type="spellStart"/>
            <w:r>
              <w:rPr>
                <w:b/>
              </w:rPr>
              <w:t>en</w:t>
            </w:r>
            <w:proofErr w:type="spellEnd"/>
            <w:r>
              <w:rPr>
                <w:b/>
              </w:rPr>
              <w:t>/de-</w:t>
            </w:r>
            <w:proofErr w:type="spellStart"/>
            <w:r>
              <w:rPr>
                <w:b/>
              </w:rPr>
              <w:t>en</w:t>
            </w:r>
            <w:proofErr w:type="spellEnd"/>
          </w:p>
        </w:tc>
        <w:tc>
          <w:tcPr>
            <w:tcW w:w="2741" w:type="dxa"/>
            <w:tcBorders>
              <w:top w:val="single" w:sz="4" w:space="0" w:color="auto"/>
              <w:bottom w:val="single" w:sz="4" w:space="0" w:color="auto"/>
            </w:tcBorders>
          </w:tcPr>
          <w:p w:rsidR="00FC2204" w:rsidRDefault="00FC2204" w:rsidP="005A30FB">
            <w:r>
              <w:t>Harmonised remote re-</w:t>
            </w:r>
            <w:proofErr w:type="spellStart"/>
            <w:r>
              <w:t>en</w:t>
            </w:r>
            <w:proofErr w:type="spellEnd"/>
            <w:r>
              <w:t>/de-</w:t>
            </w:r>
            <w:proofErr w:type="spellStart"/>
            <w:r>
              <w:t>en</w:t>
            </w:r>
            <w:proofErr w:type="spellEnd"/>
            <w:r>
              <w:t xml:space="preserve"> procedure across the NEM </w:t>
            </w:r>
          </w:p>
          <w:p w:rsidR="00FC2204" w:rsidRDefault="00FC2204" w:rsidP="005A30FB"/>
        </w:tc>
        <w:tc>
          <w:tcPr>
            <w:tcW w:w="4857" w:type="dxa"/>
            <w:tcBorders>
              <w:top w:val="single" w:sz="4" w:space="0" w:color="auto"/>
              <w:bottom w:val="single" w:sz="4" w:space="0" w:color="auto"/>
            </w:tcBorders>
          </w:tcPr>
          <w:p w:rsidR="00FC2204" w:rsidRDefault="00FC2204" w:rsidP="00A41C68">
            <w:pPr>
              <w:rPr>
                <w:rFonts w:ascii="Calibri" w:hAnsi="Calibri"/>
                <w:color w:val="000000"/>
              </w:rPr>
            </w:pPr>
            <w:r>
              <w:rPr>
                <w:rFonts w:ascii="Calibri" w:hAnsi="Calibri"/>
                <w:color w:val="000000"/>
              </w:rPr>
              <w:t>There was agreement amongst regulators, policy makers and industry that harmonising a remote re-</w:t>
            </w:r>
            <w:proofErr w:type="spellStart"/>
            <w:r>
              <w:rPr>
                <w:rFonts w:ascii="Calibri" w:hAnsi="Calibri"/>
                <w:color w:val="000000"/>
              </w:rPr>
              <w:t>en</w:t>
            </w:r>
            <w:proofErr w:type="spellEnd"/>
            <w:r>
              <w:rPr>
                <w:rFonts w:ascii="Calibri" w:hAnsi="Calibri"/>
                <w:color w:val="000000"/>
              </w:rPr>
              <w:t>/de-</w:t>
            </w:r>
            <w:proofErr w:type="spellStart"/>
            <w:r>
              <w:rPr>
                <w:rFonts w:ascii="Calibri" w:hAnsi="Calibri"/>
                <w:color w:val="000000"/>
              </w:rPr>
              <w:t>en</w:t>
            </w:r>
            <w:proofErr w:type="spellEnd"/>
            <w:r>
              <w:rPr>
                <w:rFonts w:ascii="Calibri" w:hAnsi="Calibri"/>
                <w:color w:val="000000"/>
              </w:rPr>
              <w:t xml:space="preserve"> procedure was the best way to manage remote re-</w:t>
            </w:r>
            <w:proofErr w:type="spellStart"/>
            <w:r>
              <w:rPr>
                <w:rFonts w:ascii="Calibri" w:hAnsi="Calibri"/>
                <w:color w:val="000000"/>
              </w:rPr>
              <w:t>en</w:t>
            </w:r>
            <w:proofErr w:type="spellEnd"/>
            <w:r>
              <w:rPr>
                <w:rFonts w:ascii="Calibri" w:hAnsi="Calibri"/>
                <w:color w:val="000000"/>
              </w:rPr>
              <w:t>/de-across the NEM.</w:t>
            </w:r>
          </w:p>
          <w:p w:rsidR="00FC2204" w:rsidRDefault="00FC2204" w:rsidP="00A41C68">
            <w:pPr>
              <w:rPr>
                <w:rFonts w:ascii="Calibri" w:hAnsi="Calibri"/>
                <w:color w:val="000000"/>
              </w:rPr>
            </w:pPr>
          </w:p>
          <w:p w:rsidR="00FC2204" w:rsidRDefault="00FC2204" w:rsidP="00A41C68">
            <w:r>
              <w:t xml:space="preserve">Proposed procedure is to be closely modelled on the </w:t>
            </w:r>
            <w:r w:rsidRPr="00847826">
              <w:t>Victorian MOU on remote re-</w:t>
            </w:r>
            <w:proofErr w:type="spellStart"/>
            <w:r w:rsidRPr="00847826">
              <w:t>en</w:t>
            </w:r>
            <w:proofErr w:type="spellEnd"/>
            <w:r w:rsidRPr="00847826">
              <w:t>/de-</w:t>
            </w:r>
            <w:proofErr w:type="spellStart"/>
            <w:r w:rsidRPr="00847826">
              <w:t>en</w:t>
            </w:r>
            <w:proofErr w:type="spellEnd"/>
            <w:r w:rsidRPr="00847826">
              <w:t xml:space="preserve"> between</w:t>
            </w:r>
            <w:r>
              <w:t xml:space="preserve"> retailers and distributors and third party providers.</w:t>
            </w:r>
          </w:p>
          <w:p w:rsidR="00FC2204" w:rsidRDefault="00FC2204" w:rsidP="005A30FB"/>
          <w:p w:rsidR="00FC2204" w:rsidRDefault="00FC2204" w:rsidP="007A4218">
            <w:r>
              <w:t xml:space="preserve">The ideal is to have a harmonised process across the NEM but it was unclear if this was feasible due to legal differences between the jurisdictions. </w:t>
            </w:r>
          </w:p>
        </w:tc>
        <w:tc>
          <w:tcPr>
            <w:tcW w:w="4184" w:type="dxa"/>
            <w:tcBorders>
              <w:top w:val="single" w:sz="4" w:space="0" w:color="auto"/>
              <w:bottom w:val="single" w:sz="4" w:space="0" w:color="auto"/>
              <w:right w:val="single" w:sz="4" w:space="0" w:color="auto"/>
            </w:tcBorders>
          </w:tcPr>
          <w:p w:rsidR="00FC2204" w:rsidRDefault="00FC2204" w:rsidP="000B00D4">
            <w:r w:rsidRPr="00847826">
              <w:t xml:space="preserve">Retailers </w:t>
            </w:r>
            <w:r>
              <w:t>to develop proposed re-</w:t>
            </w:r>
            <w:proofErr w:type="spellStart"/>
            <w:r>
              <w:t>en</w:t>
            </w:r>
            <w:proofErr w:type="spellEnd"/>
            <w:r>
              <w:t>/de-</w:t>
            </w:r>
            <w:proofErr w:type="spellStart"/>
            <w:r>
              <w:t>en</w:t>
            </w:r>
            <w:proofErr w:type="spellEnd"/>
            <w:r>
              <w:t xml:space="preserve"> MOU.</w:t>
            </w:r>
          </w:p>
          <w:p w:rsidR="00FC2204" w:rsidRDefault="00FC2204" w:rsidP="00847826"/>
          <w:p w:rsidR="00FC2204" w:rsidRDefault="00FC2204" w:rsidP="00847826">
            <w:r>
              <w:t>Regulators</w:t>
            </w:r>
            <w:r w:rsidRPr="00847826">
              <w:t xml:space="preserve"> to </w:t>
            </w:r>
            <w:r>
              <w:t>discuss approach to developing a harmonised procedure, and presenting a proposal to ERAC.</w:t>
            </w:r>
          </w:p>
          <w:p w:rsidR="00FC2204" w:rsidRDefault="00FC2204" w:rsidP="00847826"/>
          <w:p w:rsidR="00FC2204" w:rsidRDefault="00FC2204" w:rsidP="00847826">
            <w:r>
              <w:t>State regulators to identify any legal issues for harmonised implementation across the NEM.</w:t>
            </w:r>
          </w:p>
        </w:tc>
      </w:tr>
      <w:tr w:rsidR="00FC2204" w:rsidTr="00FC2204">
        <w:trPr>
          <w:cantSplit/>
          <w:trHeight w:val="2556"/>
        </w:trPr>
        <w:tc>
          <w:tcPr>
            <w:tcW w:w="1895" w:type="dxa"/>
            <w:tcBorders>
              <w:top w:val="single" w:sz="4" w:space="0" w:color="auto"/>
              <w:left w:val="single" w:sz="4" w:space="0" w:color="auto"/>
              <w:bottom w:val="single" w:sz="4" w:space="0" w:color="auto"/>
            </w:tcBorders>
          </w:tcPr>
          <w:p w:rsidR="00FC2204" w:rsidRDefault="00FC2204" w:rsidP="00DD13A9">
            <w:pPr>
              <w:rPr>
                <w:b/>
              </w:rPr>
            </w:pPr>
            <w:r>
              <w:rPr>
                <w:b/>
              </w:rPr>
              <w:t>Meter functions</w:t>
            </w:r>
          </w:p>
        </w:tc>
        <w:tc>
          <w:tcPr>
            <w:tcW w:w="2741" w:type="dxa"/>
            <w:tcBorders>
              <w:top w:val="single" w:sz="4" w:space="0" w:color="auto"/>
              <w:bottom w:val="single" w:sz="4" w:space="0" w:color="auto"/>
            </w:tcBorders>
          </w:tcPr>
          <w:p w:rsidR="00FC2204" w:rsidRDefault="00FC2204" w:rsidP="00DD13A9">
            <w:r>
              <w:t>Auto-disconnect function</w:t>
            </w:r>
          </w:p>
          <w:p w:rsidR="00FC2204" w:rsidRDefault="00FC2204" w:rsidP="00DD13A9"/>
        </w:tc>
        <w:tc>
          <w:tcPr>
            <w:tcW w:w="4857" w:type="dxa"/>
            <w:tcBorders>
              <w:top w:val="single" w:sz="4" w:space="0" w:color="auto"/>
              <w:bottom w:val="single" w:sz="4" w:space="0" w:color="auto"/>
            </w:tcBorders>
          </w:tcPr>
          <w:p w:rsidR="00FC2204" w:rsidRDefault="00FC2204" w:rsidP="00DD13A9">
            <w:r>
              <w:t>In the Victorian smart meter rollout, auto-disconnect was made a minimum requirement of all AMI. Should this minimum standard of AMI be adopted in a smart meter rollout across the NEM?</w:t>
            </w:r>
          </w:p>
          <w:p w:rsidR="00FC2204" w:rsidRDefault="00FC2204" w:rsidP="00DD13A9"/>
          <w:p w:rsidR="00FC2204" w:rsidRPr="00E85685" w:rsidRDefault="00FC2204" w:rsidP="00FC2204">
            <w:r>
              <w:t>Risk assessments undertaken by retailers suggest that information scripts and remote re-energisation procedures are an appropriate way to address safety risks.</w:t>
            </w:r>
          </w:p>
        </w:tc>
        <w:tc>
          <w:tcPr>
            <w:tcW w:w="4184" w:type="dxa"/>
            <w:tcBorders>
              <w:top w:val="single" w:sz="4" w:space="0" w:color="auto"/>
              <w:bottom w:val="single" w:sz="4" w:space="0" w:color="auto"/>
              <w:right w:val="single" w:sz="4" w:space="0" w:color="auto"/>
            </w:tcBorders>
          </w:tcPr>
          <w:p w:rsidR="00FC2204" w:rsidRDefault="00FC2204" w:rsidP="00DD13A9">
            <w:r>
              <w:t>Retailers to provide more information on risk assessments for re-</w:t>
            </w:r>
            <w:proofErr w:type="spellStart"/>
            <w:r>
              <w:t>en</w:t>
            </w:r>
            <w:proofErr w:type="spellEnd"/>
            <w:r>
              <w:t>/de-</w:t>
            </w:r>
            <w:proofErr w:type="spellStart"/>
            <w:r>
              <w:t>en</w:t>
            </w:r>
            <w:proofErr w:type="spellEnd"/>
            <w:r>
              <w:t>.</w:t>
            </w:r>
          </w:p>
          <w:p w:rsidR="00FC2204" w:rsidRDefault="00FC2204" w:rsidP="00DD13A9"/>
          <w:p w:rsidR="00FC2204" w:rsidRDefault="00FC2204" w:rsidP="00DD13A9">
            <w:r>
              <w:t>Regulators to consider remote re-</w:t>
            </w:r>
            <w:proofErr w:type="spellStart"/>
            <w:r>
              <w:t>en</w:t>
            </w:r>
            <w:proofErr w:type="spellEnd"/>
            <w:r>
              <w:t>/de-</w:t>
            </w:r>
            <w:proofErr w:type="spellStart"/>
            <w:r>
              <w:t>en</w:t>
            </w:r>
            <w:proofErr w:type="spellEnd"/>
            <w:r>
              <w:t xml:space="preserve"> procedures in context of risk assessments.</w:t>
            </w:r>
          </w:p>
          <w:p w:rsidR="00FC2204" w:rsidRDefault="00FC2204" w:rsidP="00DD13A9"/>
          <w:p w:rsidR="00FC2204" w:rsidRDefault="00FC2204" w:rsidP="00DD13A9">
            <w:r>
              <w:t>Jurisdictions to consider regulatory approaches to minimum functionality- for instance the NSW Smart Meter Task Force recommended service-focused specifications to allow flexibility for manufacturers and providers.</w:t>
            </w:r>
          </w:p>
        </w:tc>
      </w:tr>
      <w:tr w:rsidR="00FC2204" w:rsidTr="00FC2204">
        <w:trPr>
          <w:cantSplit/>
          <w:trHeight w:val="2131"/>
        </w:trPr>
        <w:tc>
          <w:tcPr>
            <w:tcW w:w="1895" w:type="dxa"/>
            <w:tcBorders>
              <w:top w:val="single" w:sz="4" w:space="0" w:color="auto"/>
              <w:left w:val="single" w:sz="4" w:space="0" w:color="auto"/>
              <w:bottom w:val="single" w:sz="4" w:space="0" w:color="auto"/>
            </w:tcBorders>
          </w:tcPr>
          <w:p w:rsidR="00FC2204" w:rsidRPr="00B26580" w:rsidRDefault="00FC2204" w:rsidP="00DD13A9">
            <w:pPr>
              <w:rPr>
                <w:b/>
              </w:rPr>
            </w:pPr>
            <w:r>
              <w:rPr>
                <w:b/>
              </w:rPr>
              <w:lastRenderedPageBreak/>
              <w:t>Metering Installation Practices</w:t>
            </w:r>
          </w:p>
        </w:tc>
        <w:tc>
          <w:tcPr>
            <w:tcW w:w="2741" w:type="dxa"/>
            <w:tcBorders>
              <w:top w:val="single" w:sz="4" w:space="0" w:color="auto"/>
              <w:bottom w:val="single" w:sz="4" w:space="0" w:color="auto"/>
            </w:tcBorders>
          </w:tcPr>
          <w:p w:rsidR="00FC2204" w:rsidRDefault="00FC2204" w:rsidP="00DD13A9">
            <w:r>
              <w:t>S</w:t>
            </w:r>
            <w:r w:rsidRPr="00F62373">
              <w:t>ervice fuses</w:t>
            </w:r>
          </w:p>
          <w:p w:rsidR="00FC2204" w:rsidRDefault="00FC2204" w:rsidP="00DD13A9"/>
          <w:p w:rsidR="00FC2204" w:rsidRDefault="00FC2204" w:rsidP="00DD13A9"/>
          <w:p w:rsidR="00FC2204" w:rsidRDefault="00FC2204" w:rsidP="00DD13A9"/>
          <w:p w:rsidR="00FC2204" w:rsidRDefault="00FC2204" w:rsidP="00DD13A9"/>
          <w:p w:rsidR="00FC2204" w:rsidRDefault="00FC2204" w:rsidP="00DD13A9"/>
          <w:p w:rsidR="00FC2204" w:rsidRDefault="00FC2204" w:rsidP="00DD13A9"/>
        </w:tc>
        <w:tc>
          <w:tcPr>
            <w:tcW w:w="4857" w:type="dxa"/>
            <w:tcBorders>
              <w:top w:val="single" w:sz="4" w:space="0" w:color="auto"/>
              <w:bottom w:val="single" w:sz="4" w:space="0" w:color="auto"/>
            </w:tcBorders>
          </w:tcPr>
          <w:p w:rsidR="00FC2204" w:rsidRDefault="00FC2204" w:rsidP="00AE52A4">
            <w:r>
              <w:t xml:space="preserve">The boundary for the service fuse is clearly defined in Victoria, but stakeholders </w:t>
            </w:r>
            <w:r w:rsidR="00AE52A4">
              <w:t xml:space="preserve">continue to </w:t>
            </w:r>
            <w:r>
              <w:t xml:space="preserve">express concerns that it is not so clear in other jurisdictions. This has potential implications for defining responsibilities for service fuses and raises concerns with networks about where liability starts and ends.  </w:t>
            </w:r>
          </w:p>
        </w:tc>
        <w:tc>
          <w:tcPr>
            <w:tcW w:w="4184" w:type="dxa"/>
            <w:tcBorders>
              <w:top w:val="single" w:sz="4" w:space="0" w:color="auto"/>
              <w:bottom w:val="single" w:sz="4" w:space="0" w:color="auto"/>
              <w:right w:val="single" w:sz="4" w:space="0" w:color="auto"/>
            </w:tcBorders>
          </w:tcPr>
          <w:p w:rsidR="00FC2204" w:rsidRDefault="00FC2204" w:rsidP="00FC2204">
            <w:r>
              <w:t>Jurisdictions to consider if further clarification is needed to confirm who has access and responsibility for the service fuse.</w:t>
            </w:r>
          </w:p>
          <w:p w:rsidR="00FC2204" w:rsidRDefault="00FC2204" w:rsidP="00DD13A9"/>
          <w:p w:rsidR="00FC2204" w:rsidRDefault="00FC2204" w:rsidP="00DD13A9"/>
        </w:tc>
      </w:tr>
      <w:tr w:rsidR="00FC2204" w:rsidTr="00FC2204">
        <w:trPr>
          <w:cantSplit/>
          <w:trHeight w:val="171"/>
        </w:trPr>
        <w:tc>
          <w:tcPr>
            <w:tcW w:w="1895" w:type="dxa"/>
            <w:tcBorders>
              <w:top w:val="single" w:sz="4" w:space="0" w:color="auto"/>
              <w:left w:val="single" w:sz="4" w:space="0" w:color="auto"/>
              <w:bottom w:val="single" w:sz="4" w:space="0" w:color="auto"/>
            </w:tcBorders>
          </w:tcPr>
          <w:p w:rsidR="00FC2204" w:rsidRPr="00B26580" w:rsidRDefault="00FC2204" w:rsidP="00DD13A9">
            <w:pPr>
              <w:rPr>
                <w:b/>
              </w:rPr>
            </w:pPr>
            <w:r>
              <w:rPr>
                <w:b/>
              </w:rPr>
              <w:t>Information sharing</w:t>
            </w:r>
          </w:p>
        </w:tc>
        <w:tc>
          <w:tcPr>
            <w:tcW w:w="2741" w:type="dxa"/>
            <w:tcBorders>
              <w:top w:val="single" w:sz="4" w:space="0" w:color="auto"/>
              <w:bottom w:val="single" w:sz="4" w:space="0" w:color="auto"/>
            </w:tcBorders>
          </w:tcPr>
          <w:p w:rsidR="00FC2204" w:rsidRDefault="00FC2204" w:rsidP="00DD13A9">
            <w:r>
              <w:t>Information exchange between parties about meter issues and defects encountered by meter installers in the field</w:t>
            </w:r>
          </w:p>
          <w:p w:rsidR="00FC2204" w:rsidRDefault="00FC2204" w:rsidP="00DD13A9"/>
          <w:p w:rsidR="00FC2204" w:rsidRDefault="00FC2204" w:rsidP="00DD13A9"/>
          <w:p w:rsidR="00FC2204" w:rsidRDefault="00FC2204" w:rsidP="00DD13A9"/>
          <w:p w:rsidR="00CA5C2E" w:rsidRDefault="00CA5C2E" w:rsidP="00DD13A9"/>
          <w:p w:rsidR="00CA5C2E" w:rsidRDefault="00CA5C2E" w:rsidP="00DD13A9"/>
          <w:p w:rsidR="00FC2204" w:rsidRDefault="00FC2204" w:rsidP="00DD13A9">
            <w:r>
              <w:t>Sharing Metering Safety Forum proceedings with wider audiences</w:t>
            </w:r>
          </w:p>
        </w:tc>
        <w:tc>
          <w:tcPr>
            <w:tcW w:w="4857" w:type="dxa"/>
            <w:tcBorders>
              <w:top w:val="single" w:sz="4" w:space="0" w:color="auto"/>
              <w:bottom w:val="single" w:sz="4" w:space="0" w:color="auto"/>
            </w:tcBorders>
          </w:tcPr>
          <w:p w:rsidR="00FC2204" w:rsidRDefault="00FC2204" w:rsidP="00DD13A9">
            <w:r w:rsidRPr="006F6D11">
              <w:t xml:space="preserve">Distributors and regulators flagged issues around information flows and treatment of defects between AEMO, distributors and third party metering providers. </w:t>
            </w:r>
            <w:r>
              <w:t xml:space="preserve">There is a concern that in a competitive environment there is no incentive for information sharing about meter problems between competing parties. </w:t>
            </w:r>
          </w:p>
          <w:p w:rsidR="00FC2204" w:rsidRDefault="00FC2204" w:rsidP="00DD13A9"/>
          <w:p w:rsidR="00CA5C2E" w:rsidRDefault="00CA5C2E" w:rsidP="00DD13A9"/>
          <w:p w:rsidR="00CA5C2E" w:rsidRDefault="00CA5C2E" w:rsidP="00DD13A9"/>
          <w:p w:rsidR="00FC2204" w:rsidRDefault="00FC2204" w:rsidP="00DD13A9">
            <w:r>
              <w:t xml:space="preserve">Information from the Metering Safety Forum would be useful to </w:t>
            </w:r>
            <w:r w:rsidR="00AE52A4">
              <w:t xml:space="preserve">share with </w:t>
            </w:r>
            <w:r>
              <w:t>other forums where metering safety issues are relevant, such as the ENA Metering Co-ordinating Group, RMCF and the IEC.</w:t>
            </w:r>
          </w:p>
          <w:p w:rsidR="00FC2204" w:rsidRDefault="00FC2204" w:rsidP="00DD13A9"/>
          <w:p w:rsidR="00FC2204" w:rsidRDefault="00FC2204" w:rsidP="00DD13A9">
            <w:r>
              <w:t xml:space="preserve"> </w:t>
            </w:r>
          </w:p>
        </w:tc>
        <w:tc>
          <w:tcPr>
            <w:tcW w:w="4184" w:type="dxa"/>
            <w:tcBorders>
              <w:top w:val="single" w:sz="4" w:space="0" w:color="auto"/>
              <w:bottom w:val="single" w:sz="4" w:space="0" w:color="auto"/>
              <w:right w:val="single" w:sz="4" w:space="0" w:color="auto"/>
            </w:tcBorders>
          </w:tcPr>
          <w:p w:rsidR="00FC2204" w:rsidRDefault="00FC2204" w:rsidP="00DD13A9">
            <w:r>
              <w:t xml:space="preserve">Retailers to </w:t>
            </w:r>
            <w:r w:rsidR="00CA5C2E">
              <w:t>develop</w:t>
            </w:r>
            <w:r>
              <w:t xml:space="preserve"> proposal </w:t>
            </w:r>
            <w:r w:rsidR="00CA5C2E">
              <w:t>for</w:t>
            </w:r>
            <w:r>
              <w:t xml:space="preserve"> IEC about</w:t>
            </w:r>
            <w:r w:rsidRPr="006F6D11">
              <w:t xml:space="preserve"> </w:t>
            </w:r>
            <w:r>
              <w:t xml:space="preserve">incorporating information sharing about metering faults into </w:t>
            </w:r>
            <w:r w:rsidRPr="006F6D11">
              <w:t>automated B2B</w:t>
            </w:r>
            <w:r>
              <w:t xml:space="preserve"> procedures.</w:t>
            </w:r>
          </w:p>
          <w:p w:rsidR="00FC2204" w:rsidRDefault="00FC2204" w:rsidP="00DD13A9"/>
          <w:p w:rsidR="00FC2204" w:rsidRDefault="00AE52A4" w:rsidP="00DD13A9">
            <w:r>
              <w:t>AEMO to consider if additional information sharing is required with safety regulators.</w:t>
            </w:r>
          </w:p>
          <w:p w:rsidR="00FC2204" w:rsidRDefault="00FC2204" w:rsidP="00DD13A9"/>
          <w:p w:rsidR="00CA5C2E" w:rsidRDefault="00CA5C2E" w:rsidP="00DD13A9"/>
          <w:p w:rsidR="00CA5C2E" w:rsidRDefault="00CA5C2E" w:rsidP="00DD13A9"/>
          <w:p w:rsidR="00FC2204" w:rsidRDefault="00FC2204" w:rsidP="00DD13A9">
            <w:r>
              <w:t>Develop summary of key issues and identify how best circulated.</w:t>
            </w:r>
          </w:p>
          <w:p w:rsidR="00FC2204" w:rsidRDefault="00FC2204" w:rsidP="00DD13A9"/>
          <w:p w:rsidR="00FC2204" w:rsidRDefault="00FC2204" w:rsidP="00DD13A9"/>
          <w:p w:rsidR="00FC2204" w:rsidRDefault="00FC2204" w:rsidP="00DD13A9"/>
        </w:tc>
      </w:tr>
      <w:tr w:rsidR="00FC2204" w:rsidTr="00FC2204">
        <w:trPr>
          <w:cantSplit/>
          <w:trHeight w:val="171"/>
        </w:trPr>
        <w:tc>
          <w:tcPr>
            <w:tcW w:w="1895" w:type="dxa"/>
            <w:tcBorders>
              <w:top w:val="single" w:sz="4" w:space="0" w:color="auto"/>
              <w:left w:val="single" w:sz="4" w:space="0" w:color="auto"/>
              <w:bottom w:val="single" w:sz="4" w:space="0" w:color="auto"/>
            </w:tcBorders>
          </w:tcPr>
          <w:p w:rsidR="00FC2204" w:rsidRPr="00B26580" w:rsidRDefault="00FC2204" w:rsidP="005A30FB">
            <w:pPr>
              <w:rPr>
                <w:b/>
              </w:rPr>
            </w:pPr>
            <w:r>
              <w:rPr>
                <w:b/>
              </w:rPr>
              <w:lastRenderedPageBreak/>
              <w:t>Training and Standards</w:t>
            </w:r>
          </w:p>
        </w:tc>
        <w:tc>
          <w:tcPr>
            <w:tcW w:w="2741" w:type="dxa"/>
            <w:tcBorders>
              <w:top w:val="single" w:sz="4" w:space="0" w:color="auto"/>
              <w:bottom w:val="single" w:sz="4" w:space="0" w:color="auto"/>
            </w:tcBorders>
          </w:tcPr>
          <w:p w:rsidR="00FC2204" w:rsidRPr="003C1ECB" w:rsidRDefault="00FC2204" w:rsidP="003C1ECB">
            <w:r w:rsidRPr="003C1ECB">
              <w:t>Cable</w:t>
            </w:r>
            <w:r>
              <w:t>/ meter tail</w:t>
            </w:r>
            <w:r w:rsidRPr="003C1ECB">
              <w:t xml:space="preserve"> preparation standard</w:t>
            </w:r>
            <w:r>
              <w:t>s</w:t>
            </w:r>
          </w:p>
          <w:p w:rsidR="00FC2204" w:rsidRDefault="00FC2204" w:rsidP="002E056F"/>
          <w:p w:rsidR="00FC2204" w:rsidRDefault="00FC2204" w:rsidP="002E056F"/>
          <w:p w:rsidR="00FC2204" w:rsidRDefault="00FC2204" w:rsidP="005A30FB"/>
          <w:p w:rsidR="00FC2204" w:rsidRDefault="00FC2204" w:rsidP="005A30FB"/>
          <w:p w:rsidR="00FC2204" w:rsidRDefault="00FC2204" w:rsidP="005A30FB">
            <w:r>
              <w:t>Screw tightness standards</w:t>
            </w:r>
          </w:p>
          <w:p w:rsidR="00FC2204" w:rsidRDefault="00FC2204" w:rsidP="005A30FB"/>
          <w:p w:rsidR="00FC2204" w:rsidRDefault="00FC2204" w:rsidP="005A30FB"/>
          <w:p w:rsidR="00FC2204" w:rsidRDefault="00FC2204" w:rsidP="005A30FB"/>
          <w:p w:rsidR="00FC2204" w:rsidRDefault="00FC2204" w:rsidP="005A30FB"/>
          <w:p w:rsidR="00C2466C" w:rsidRDefault="00C2466C" w:rsidP="005A30FB"/>
          <w:p w:rsidR="00FC2204" w:rsidRDefault="00FC2204" w:rsidP="005A30FB">
            <w:r>
              <w:t>Meter wiring configurations</w:t>
            </w:r>
          </w:p>
        </w:tc>
        <w:tc>
          <w:tcPr>
            <w:tcW w:w="4857" w:type="dxa"/>
            <w:tcBorders>
              <w:top w:val="single" w:sz="4" w:space="0" w:color="auto"/>
              <w:bottom w:val="single" w:sz="4" w:space="0" w:color="auto"/>
            </w:tcBorders>
          </w:tcPr>
          <w:p w:rsidR="00FC2204" w:rsidRDefault="00FC2204" w:rsidP="00252DCA">
            <w:r>
              <w:t>Distributors concerned that t</w:t>
            </w:r>
            <w:r w:rsidRPr="00252DCA">
              <w:t>here is no specific standard for cable or meter tail preparations in Australia and it is unclear if the issue is adequately addressed in either TAFE training or within the Australian Wiring Regula</w:t>
            </w:r>
            <w:r>
              <w:t>tions.</w:t>
            </w:r>
            <w:r w:rsidRPr="00252DCA">
              <w:t xml:space="preserve"> </w:t>
            </w:r>
          </w:p>
          <w:p w:rsidR="00FC2204" w:rsidRPr="00252DCA" w:rsidRDefault="00FC2204" w:rsidP="00252DCA"/>
          <w:p w:rsidR="00FC2204" w:rsidRDefault="00FC2204" w:rsidP="00E91CD7">
            <w:r>
              <w:t xml:space="preserve">Distributors identified issues with the subjective standard commonly used by installers in relation to screw tightness. Could indicate a possible issue with the use of </w:t>
            </w:r>
            <w:r w:rsidRPr="006F6D11">
              <w:t>IEC/Australian Standard 60999.1:2012 in training</w:t>
            </w:r>
            <w:r>
              <w:t>.</w:t>
            </w:r>
          </w:p>
          <w:p w:rsidR="00FC2204" w:rsidRDefault="00FC2204" w:rsidP="005A30FB"/>
          <w:p w:rsidR="00FC2204" w:rsidRPr="00322161" w:rsidRDefault="00FC2204" w:rsidP="005A30FB">
            <w:r>
              <w:t>In the Victorian smart meter rollout</w:t>
            </w:r>
            <w:r w:rsidRPr="00C2466C">
              <w:t>, CitiPower/</w:t>
            </w:r>
            <w:proofErr w:type="spellStart"/>
            <w:r w:rsidRPr="00C2466C">
              <w:t>Powercor</w:t>
            </w:r>
            <w:proofErr w:type="spellEnd"/>
            <w:r w:rsidRPr="00BA0198">
              <w:t xml:space="preserve"> converted most 4 wire </w:t>
            </w:r>
            <w:r>
              <w:t>(</w:t>
            </w:r>
            <w:r w:rsidRPr="00BA0198">
              <w:t>ANNA</w:t>
            </w:r>
            <w:r>
              <w:t>)</w:t>
            </w:r>
            <w:r w:rsidRPr="00BA0198">
              <w:t xml:space="preserve"> sites to 3 wire as part of its Rollout. </w:t>
            </w:r>
            <w:r>
              <w:t>In a NEM-wide rollout, should all ANNA wiring be converted to a 3 wire arrangement?</w:t>
            </w:r>
          </w:p>
        </w:tc>
        <w:tc>
          <w:tcPr>
            <w:tcW w:w="4184" w:type="dxa"/>
            <w:tcBorders>
              <w:top w:val="single" w:sz="4" w:space="0" w:color="auto"/>
              <w:bottom w:val="single" w:sz="4" w:space="0" w:color="auto"/>
              <w:right w:val="single" w:sz="4" w:space="0" w:color="auto"/>
            </w:tcBorders>
          </w:tcPr>
          <w:p w:rsidR="00FC2204" w:rsidRDefault="00FC2204" w:rsidP="002E056F">
            <w:r>
              <w:t xml:space="preserve">Jurisdictions to investigate how these specific standards are addressed in Service and Installation Rules and </w:t>
            </w:r>
            <w:r w:rsidR="00C2466C">
              <w:t>relevant</w:t>
            </w:r>
            <w:r>
              <w:t xml:space="preserve"> training</w:t>
            </w:r>
            <w:r w:rsidR="00C2466C">
              <w:t xml:space="preserve"> requirements</w:t>
            </w:r>
            <w:r>
              <w:t xml:space="preserve">. </w:t>
            </w:r>
          </w:p>
          <w:p w:rsidR="00FC2204" w:rsidRDefault="00FC2204" w:rsidP="002E056F"/>
          <w:p w:rsidR="00FC2204" w:rsidRDefault="00FC2204" w:rsidP="00FC2204">
            <w:r>
              <w:t>Meter providers to consider reviewing installation practices in cable/meter tail preparations and screw tightness.</w:t>
            </w:r>
          </w:p>
          <w:p w:rsidR="00FC2204" w:rsidRDefault="00FC2204" w:rsidP="002E056F"/>
        </w:tc>
      </w:tr>
    </w:tbl>
    <w:p w:rsidR="00B87AFF" w:rsidRDefault="00AE52A4"/>
    <w:sectPr w:rsidR="00B87AFF" w:rsidSect="00262CD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C1B" w:rsidRDefault="00461645">
      <w:pPr>
        <w:spacing w:after="0" w:line="240" w:lineRule="auto"/>
      </w:pPr>
      <w:r>
        <w:separator/>
      </w:r>
    </w:p>
  </w:endnote>
  <w:endnote w:type="continuationSeparator" w:id="0">
    <w:p w:rsidR="00394C1B" w:rsidRDefault="0046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8E9" w:rsidRDefault="00AE5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8E9" w:rsidRDefault="00AE52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8E9" w:rsidRDefault="00AE5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C1B" w:rsidRDefault="00461645">
      <w:pPr>
        <w:spacing w:after="0" w:line="240" w:lineRule="auto"/>
      </w:pPr>
      <w:r>
        <w:separator/>
      </w:r>
    </w:p>
  </w:footnote>
  <w:footnote w:type="continuationSeparator" w:id="0">
    <w:p w:rsidR="00394C1B" w:rsidRDefault="00461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8E9" w:rsidRDefault="00AE5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8E9" w:rsidRDefault="00AE5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8E9" w:rsidRDefault="00AE5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5390D"/>
    <w:multiLevelType w:val="hybridMultilevel"/>
    <w:tmpl w:val="AC3E6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5A00D9"/>
    <w:multiLevelType w:val="hybridMultilevel"/>
    <w:tmpl w:val="EC68E4DC"/>
    <w:lvl w:ilvl="0" w:tplc="E40AFB7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6E1E03"/>
    <w:multiLevelType w:val="hybridMultilevel"/>
    <w:tmpl w:val="2A183DFC"/>
    <w:lvl w:ilvl="0" w:tplc="81503B7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4754C8"/>
    <w:multiLevelType w:val="hybridMultilevel"/>
    <w:tmpl w:val="BAB8D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3A1F07"/>
    <w:multiLevelType w:val="hybridMultilevel"/>
    <w:tmpl w:val="3E965B76"/>
    <w:lvl w:ilvl="0" w:tplc="828A695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EE"/>
    <w:rsid w:val="000B00D4"/>
    <w:rsid w:val="000F6AB5"/>
    <w:rsid w:val="00127AD7"/>
    <w:rsid w:val="00144E48"/>
    <w:rsid w:val="0016582B"/>
    <w:rsid w:val="00166656"/>
    <w:rsid w:val="001E0CB4"/>
    <w:rsid w:val="00252DCA"/>
    <w:rsid w:val="00277FFC"/>
    <w:rsid w:val="002D56D1"/>
    <w:rsid w:val="002E056F"/>
    <w:rsid w:val="00394C1B"/>
    <w:rsid w:val="003C1ECB"/>
    <w:rsid w:val="004204D5"/>
    <w:rsid w:val="00461645"/>
    <w:rsid w:val="004701B5"/>
    <w:rsid w:val="004B2539"/>
    <w:rsid w:val="00532C0B"/>
    <w:rsid w:val="005A0E21"/>
    <w:rsid w:val="005D7F1B"/>
    <w:rsid w:val="00655D1C"/>
    <w:rsid w:val="006D2C94"/>
    <w:rsid w:val="006E4507"/>
    <w:rsid w:val="006F6D11"/>
    <w:rsid w:val="007A4218"/>
    <w:rsid w:val="00847826"/>
    <w:rsid w:val="008A0C42"/>
    <w:rsid w:val="008F568D"/>
    <w:rsid w:val="00A41C68"/>
    <w:rsid w:val="00A91BD5"/>
    <w:rsid w:val="00AA70C9"/>
    <w:rsid w:val="00AA7380"/>
    <w:rsid w:val="00AD5070"/>
    <w:rsid w:val="00AD514E"/>
    <w:rsid w:val="00AE3696"/>
    <w:rsid w:val="00AE50D4"/>
    <w:rsid w:val="00AE52A4"/>
    <w:rsid w:val="00B14D49"/>
    <w:rsid w:val="00B37CB4"/>
    <w:rsid w:val="00B57CF2"/>
    <w:rsid w:val="00BA0198"/>
    <w:rsid w:val="00C14C24"/>
    <w:rsid w:val="00C2466C"/>
    <w:rsid w:val="00C42F67"/>
    <w:rsid w:val="00C63993"/>
    <w:rsid w:val="00C97ED4"/>
    <w:rsid w:val="00CA5C2E"/>
    <w:rsid w:val="00D672FB"/>
    <w:rsid w:val="00D72281"/>
    <w:rsid w:val="00D8096F"/>
    <w:rsid w:val="00D95580"/>
    <w:rsid w:val="00DA2CEE"/>
    <w:rsid w:val="00DC3D47"/>
    <w:rsid w:val="00DC72A0"/>
    <w:rsid w:val="00E45ADC"/>
    <w:rsid w:val="00E84BB7"/>
    <w:rsid w:val="00E85685"/>
    <w:rsid w:val="00E91CD7"/>
    <w:rsid w:val="00F214B2"/>
    <w:rsid w:val="00F62373"/>
    <w:rsid w:val="00F74929"/>
    <w:rsid w:val="00FC22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FF9D4-31B9-4EFC-9481-EE860302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EE"/>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2C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CEE"/>
    <w:rPr>
      <w:rFonts w:eastAsiaTheme="minorHAnsi"/>
      <w:lang w:eastAsia="en-US"/>
    </w:rPr>
  </w:style>
  <w:style w:type="paragraph" w:styleId="Footer">
    <w:name w:val="footer"/>
    <w:basedOn w:val="Normal"/>
    <w:link w:val="FooterChar"/>
    <w:uiPriority w:val="99"/>
    <w:unhideWhenUsed/>
    <w:rsid w:val="00DA2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CEE"/>
    <w:rPr>
      <w:rFonts w:eastAsiaTheme="minorHAnsi"/>
      <w:lang w:eastAsia="en-US"/>
    </w:rPr>
  </w:style>
  <w:style w:type="paragraph" w:styleId="ListParagraph">
    <w:name w:val="List Paragraph"/>
    <w:basedOn w:val="Normal"/>
    <w:uiPriority w:val="34"/>
    <w:qFormat/>
    <w:rsid w:val="00DA2CEE"/>
    <w:pPr>
      <w:ind w:left="720"/>
      <w:contextualSpacing/>
    </w:pPr>
  </w:style>
  <w:style w:type="paragraph" w:styleId="BalloonText">
    <w:name w:val="Balloon Text"/>
    <w:basedOn w:val="Normal"/>
    <w:link w:val="BalloonTextChar"/>
    <w:uiPriority w:val="99"/>
    <w:semiHidden/>
    <w:unhideWhenUsed/>
    <w:rsid w:val="00D95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580"/>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05CE-E660-4E5D-8F30-405CE98C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Jessica</dc:creator>
  <cp:lastModifiedBy>Richardson, Stuart</cp:lastModifiedBy>
  <cp:revision>7</cp:revision>
  <cp:lastPrinted>2016-08-10T06:38:00Z</cp:lastPrinted>
  <dcterms:created xsi:type="dcterms:W3CDTF">2016-08-01T06:53:00Z</dcterms:created>
  <dcterms:modified xsi:type="dcterms:W3CDTF">2016-08-10T06:50:00Z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